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5777"/>
      </w:tblGrid>
      <w:tr w:rsidR="00EF15BB" w14:paraId="63B40BA3" w14:textId="77777777"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BA9C1A" w14:textId="77777777" w:rsidR="00EF15BB" w:rsidRDefault="00EF15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</w:p>
          <w:p w14:paraId="2F036B70" w14:textId="77777777" w:rsidR="00EF15B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КИЇВСЬКИЙ НАЦІОНАЛЬНИЙ</w:t>
            </w:r>
          </w:p>
          <w:p w14:paraId="313D60EF" w14:textId="77777777" w:rsidR="00EF15B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ЛІНГВІСТИЧНИЙ УНІВЕРСИТЕТ</w:t>
            </w:r>
          </w:p>
          <w:p w14:paraId="1ABC81F9" w14:textId="77777777" w:rsidR="00EF15B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 wp14:anchorId="710BDF21" wp14:editId="6F7BE84D">
                  <wp:extent cx="2857500" cy="1600200"/>
                  <wp:effectExtent l="0" t="0" r="0" b="0"/>
                  <wp:docPr id="1" name="Рисунок 1" descr="Київський національний лінгвістичний університет (КНЛУ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Київський національний лінгвістичний університет (КНЛУ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D2FC6E" w14:textId="77777777" w:rsidR="00EF15B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6"/>
                <w:szCs w:val="26"/>
                <w:lang w:val="uk-UA"/>
              </w:rPr>
              <w:t>Факультет германської філології і перекладу</w:t>
            </w:r>
          </w:p>
          <w:p w14:paraId="552AF308" w14:textId="77777777" w:rsidR="00EF15BB" w:rsidRDefault="00EF1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14:paraId="6BBA6966" w14:textId="77777777" w:rsidR="00EF15B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Кафедра германської філології</w:t>
            </w:r>
          </w:p>
          <w:p w14:paraId="696A52AE" w14:textId="77777777" w:rsidR="00EF15BB" w:rsidRDefault="00EF15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DB51" w14:textId="77777777" w:rsidR="00EF15B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СИЛАБУС</w:t>
            </w:r>
          </w:p>
          <w:p w14:paraId="35D480CD" w14:textId="77777777" w:rsidR="00EF15B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вибіркової навчальної дисципліни</w:t>
            </w:r>
          </w:p>
          <w:p w14:paraId="345E122A" w14:textId="77777777" w:rsidR="00EF15BB" w:rsidRDefault="00EF15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14:paraId="17EB98FF" w14:textId="77777777" w:rsidR="00EF15B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eastAsia="SimSun" w:hAnsi="Times New Roman" w:cs="Times New Roman"/>
                <w:b/>
                <w:bCs/>
                <w:kern w:val="2"/>
                <w:sz w:val="28"/>
                <w:szCs w:val="28"/>
                <w:lang w:val="uk-UA" w:eastAsia="zh-CN" w:bidi="hi-IN"/>
              </w:rPr>
              <w:t>Усний німецькомовний дискурс: фонетичні та фонологічні аспекти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</w:t>
            </w:r>
          </w:p>
          <w:p w14:paraId="445929E8" w14:textId="77777777" w:rsidR="00EF15BB" w:rsidRDefault="00EF15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14:paraId="2BA976C2" w14:textId="77777777" w:rsidR="00EF15BB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Спеціальність: 035 Філологія</w:t>
            </w:r>
          </w:p>
          <w:p w14:paraId="1F3DC346" w14:textId="77777777" w:rsidR="00EF15BB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Спеціалізація: 035.041 Германські мови та літератури (переклад включно), перша – англійська</w:t>
            </w:r>
          </w:p>
          <w:p w14:paraId="1F792342" w14:textId="77777777" w:rsidR="00EF15BB" w:rsidRDefault="00EF15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</w:pPr>
          </w:p>
          <w:p w14:paraId="054A51C1" w14:textId="77777777" w:rsidR="00EF15B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Освітні програми: </w:t>
            </w:r>
          </w:p>
          <w:p w14:paraId="0F2F0420" w14:textId="77777777" w:rsidR="00EF15BB" w:rsidRDefault="00EF15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</w:pPr>
          </w:p>
          <w:p w14:paraId="19BDFD25" w14:textId="77777777" w:rsidR="00EF15BB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Англійська мова і література, друга іноземна мова, переклад</w:t>
            </w:r>
          </w:p>
          <w:p w14:paraId="28A52CCA" w14:textId="77777777" w:rsidR="00EF15BB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Англійська мова і друга іноземна мова: усний і письмовий переклад у бізнес-комунікації</w:t>
            </w:r>
          </w:p>
        </w:tc>
      </w:tr>
      <w:tr w:rsidR="00EF15BB" w14:paraId="76437A7B" w14:textId="77777777">
        <w:tc>
          <w:tcPr>
            <w:tcW w:w="5211" w:type="dxa"/>
            <w:tcBorders>
              <w:top w:val="single" w:sz="4" w:space="0" w:color="auto"/>
            </w:tcBorders>
          </w:tcPr>
          <w:p w14:paraId="0D2F4648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Рівень вищої освіти</w:t>
            </w:r>
          </w:p>
          <w:p w14:paraId="69A7F85E" w14:textId="77777777" w:rsidR="00EF15BB" w:rsidRDefault="00EF1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</w:tcBorders>
          </w:tcPr>
          <w:p w14:paraId="6BF02189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Бакалавр</w:t>
            </w:r>
          </w:p>
        </w:tc>
      </w:tr>
      <w:tr w:rsidR="00EF15BB" w14:paraId="1D30FF6B" w14:textId="77777777">
        <w:tc>
          <w:tcPr>
            <w:tcW w:w="5211" w:type="dxa"/>
            <w:tcBorders>
              <w:top w:val="single" w:sz="4" w:space="0" w:color="auto"/>
            </w:tcBorders>
          </w:tcPr>
          <w:p w14:paraId="15BEA850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Кафедра</w:t>
            </w:r>
          </w:p>
          <w:p w14:paraId="4E4BC0A1" w14:textId="77777777" w:rsidR="00EF15BB" w:rsidRDefault="00EF1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</w:tcBorders>
          </w:tcPr>
          <w:p w14:paraId="4B29C9D6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германської філології</w:t>
            </w:r>
          </w:p>
        </w:tc>
      </w:tr>
      <w:tr w:rsidR="00EF15BB" w14:paraId="1B9E1E47" w14:textId="77777777">
        <w:tc>
          <w:tcPr>
            <w:tcW w:w="5211" w:type="dxa"/>
            <w:tcBorders>
              <w:top w:val="single" w:sz="4" w:space="0" w:color="auto"/>
            </w:tcBorders>
          </w:tcPr>
          <w:p w14:paraId="7BC37C31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Факультет</w:t>
            </w:r>
          </w:p>
          <w:p w14:paraId="15805937" w14:textId="77777777" w:rsidR="00EF15BB" w:rsidRDefault="00EF1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</w:tcBorders>
          </w:tcPr>
          <w:p w14:paraId="77EB5EBB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германської філології і перекладу</w:t>
            </w:r>
          </w:p>
        </w:tc>
      </w:tr>
      <w:tr w:rsidR="00EF15BB" w14:paraId="6A756969" w14:textId="77777777">
        <w:tc>
          <w:tcPr>
            <w:tcW w:w="5211" w:type="dxa"/>
            <w:tcBorders>
              <w:top w:val="single" w:sz="4" w:space="0" w:color="auto"/>
            </w:tcBorders>
          </w:tcPr>
          <w:p w14:paraId="1BFC4477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Викладач</w:t>
            </w:r>
          </w:p>
          <w:p w14:paraId="37DB4553" w14:textId="77777777" w:rsidR="00EF15BB" w:rsidRDefault="00EF1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</w:tcBorders>
          </w:tcPr>
          <w:p w14:paraId="71FF4E8D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Бондаренко Ельвіра Сидорівна,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кандидат філологічних наук, доцент, доцент кафедри германської філології</w:t>
            </w:r>
          </w:p>
        </w:tc>
      </w:tr>
      <w:tr w:rsidR="00EF15BB" w14:paraId="51EA57AF" w14:textId="77777777">
        <w:tc>
          <w:tcPr>
            <w:tcW w:w="5211" w:type="dxa"/>
          </w:tcPr>
          <w:p w14:paraId="3559DA74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Статус дисципліни</w:t>
            </w:r>
          </w:p>
          <w:p w14:paraId="531E70E7" w14:textId="77777777" w:rsidR="00EF15BB" w:rsidRDefault="00EF1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51DE22D0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вибіркова</w:t>
            </w:r>
          </w:p>
        </w:tc>
      </w:tr>
      <w:tr w:rsidR="00EF15BB" w14:paraId="6AB7FBC8" w14:textId="77777777">
        <w:tc>
          <w:tcPr>
            <w:tcW w:w="5211" w:type="dxa"/>
          </w:tcPr>
          <w:p w14:paraId="2632B16A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Курс, семестр</w:t>
            </w:r>
          </w:p>
          <w:p w14:paraId="01CCE503" w14:textId="77777777" w:rsidR="00EF15BB" w:rsidRDefault="00EF1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2C7A4BBA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II, III</w:t>
            </w:r>
          </w:p>
        </w:tc>
      </w:tr>
      <w:tr w:rsidR="00EF15BB" w14:paraId="71541348" w14:textId="77777777">
        <w:tc>
          <w:tcPr>
            <w:tcW w:w="5211" w:type="dxa"/>
          </w:tcPr>
          <w:p w14:paraId="2F431700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Обсяг дисципліни у кредитах ЄКТС /</w:t>
            </w:r>
          </w:p>
          <w:p w14:paraId="3BD631B1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загальна кількість годин</w:t>
            </w:r>
          </w:p>
          <w:p w14:paraId="233D3336" w14:textId="77777777" w:rsidR="00EF15BB" w:rsidRDefault="00EF1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7DE26545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3/ 90</w:t>
            </w:r>
          </w:p>
        </w:tc>
      </w:tr>
      <w:tr w:rsidR="00EF15BB" w14:paraId="5B9D8791" w14:textId="77777777">
        <w:tc>
          <w:tcPr>
            <w:tcW w:w="5211" w:type="dxa"/>
          </w:tcPr>
          <w:p w14:paraId="41749DE1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Мова викладання</w:t>
            </w:r>
          </w:p>
          <w:p w14:paraId="31D989CB" w14:textId="77777777" w:rsidR="00EF15BB" w:rsidRDefault="00EF1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777" w:type="dxa"/>
          </w:tcPr>
          <w:p w14:paraId="01880E69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німецька</w:t>
            </w:r>
          </w:p>
        </w:tc>
      </w:tr>
      <w:tr w:rsidR="00EF15BB" w:rsidRPr="00255554" w14:paraId="606227CB" w14:textId="77777777">
        <w:tc>
          <w:tcPr>
            <w:tcW w:w="5211" w:type="dxa"/>
          </w:tcPr>
          <w:p w14:paraId="4566B312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Коротка анотація дисципліни</w:t>
            </w:r>
          </w:p>
          <w:p w14:paraId="0FF0A657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uk-UA"/>
              </w:rPr>
              <w:t>(Що я вивчатиму?)</w:t>
            </w:r>
          </w:p>
          <w:p w14:paraId="1E2A0131" w14:textId="77777777" w:rsidR="00EF15BB" w:rsidRDefault="00EF1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4C7C875F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Дисципліна «Усний німецькомовний дискурс: фонетичні та фонологічні аспекти» спрямована на формування у студентів фонетичної компетентності з метою ефективного спілкування в німецькомовному середовищі</w:t>
            </w:r>
            <w:r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Зміст навчальної дисципліни розкривається в чотирьох змістових модулях, в яких розглядаються основні поняття інтонаційної структури,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реалізації системи німецьких голосних і приголосних фонем у мовленні, словесного наголосу.</w:t>
            </w:r>
          </w:p>
        </w:tc>
      </w:tr>
      <w:tr w:rsidR="00EF15BB" w:rsidRPr="00255554" w14:paraId="00396748" w14:textId="77777777">
        <w:tc>
          <w:tcPr>
            <w:tcW w:w="5211" w:type="dxa"/>
          </w:tcPr>
          <w:p w14:paraId="309D803F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Мета вивчення дисципліни</w:t>
            </w:r>
          </w:p>
          <w:p w14:paraId="254DC123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uk-UA"/>
              </w:rPr>
              <w:t>(Чому це цікаво й потрібно вивчати?)</w:t>
            </w:r>
          </w:p>
          <w:p w14:paraId="32F723CC" w14:textId="77777777" w:rsidR="00EF15BB" w:rsidRDefault="00EF1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4E2518E8" w14:textId="77777777" w:rsidR="00EF15BB" w:rsidRDefault="00000000">
            <w:pPr>
              <w:pStyle w:val="aa"/>
              <w:tabs>
                <w:tab w:val="left" w:pos="32"/>
                <w:tab w:val="left" w:pos="316"/>
              </w:tabs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  <w:lang w:val="uk-UA"/>
              </w:rPr>
              <w:t xml:space="preserve">Мета курсу </w:t>
            </w:r>
            <w:r>
              <w:rPr>
                <w:rFonts w:ascii="Times New Roman" w:hAnsi="Times New Roman"/>
                <w:i/>
                <w:color w:val="000000" w:themeColor="text1"/>
                <w:spacing w:val="-4"/>
                <w:sz w:val="24"/>
                <w:szCs w:val="24"/>
                <w:lang w:val="uk-UA"/>
              </w:rPr>
              <w:t>–</w:t>
            </w:r>
            <w:r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набуття студентами іншомовних орфографічних навичок, фонетичних рецептивних навичок аудіювання та читання і відповідних репродуктивних навичок говоріння задля їх подальшого використання в усній та писемній комунікації.</w:t>
            </w:r>
            <w:r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  <w:lang w:val="uk-UA"/>
              </w:rPr>
              <w:t xml:space="preserve"> Студенти мають </w:t>
            </w:r>
            <w:r>
              <w:rPr>
                <w:rFonts w:ascii="Times New Roman" w:hAnsi="Times New Roman"/>
                <w:b/>
                <w:color w:val="000000" w:themeColor="text1"/>
                <w:spacing w:val="-4"/>
                <w:sz w:val="24"/>
                <w:szCs w:val="24"/>
                <w:lang w:val="uk-UA"/>
              </w:rPr>
              <w:t>знати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теоретичні основи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щодо артикуляційної бази німецької мови, функціонування голосних і приголосних фонем, реалізації одиниць супрасегментного рівня;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вміти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  <w:lastRenderedPageBreak/>
              <w:t>застосовувати знання про систему голосних і приголосних сучасної німецької мови з метою фонетично правильного оформлення мовлення, розпізнавати основні інтонаційні моделі та використовувати їх в різних комунікативних ситуаціях, аналізувати власні фонетичні помилки, застосовувати основні прийоми вдосконалення вимови в автономному навчанні, здійснювати фонетичну самокорекцію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;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володіти навичками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пошуку інформації в довідниковій літературі, використання сучасних інформаційних технологій, аналізу та узагальнення інформації, застосування отриманих знань і набутих умінь в інших галузях для ефективного опанування німецької мови, автономного навчання, професійного спілкування.</w:t>
            </w:r>
          </w:p>
        </w:tc>
      </w:tr>
      <w:tr w:rsidR="00EF15BB" w14:paraId="08FF5A33" w14:textId="77777777">
        <w:tc>
          <w:tcPr>
            <w:tcW w:w="5211" w:type="dxa"/>
          </w:tcPr>
          <w:p w14:paraId="353BF752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lastRenderedPageBreak/>
              <w:t>Результати навчання</w:t>
            </w:r>
          </w:p>
          <w:p w14:paraId="588BC72D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uk-UA"/>
              </w:rPr>
              <w:t>(Чому я навчуся на цій дисципліні?)</w:t>
            </w:r>
          </w:p>
          <w:p w14:paraId="0564EF07" w14:textId="77777777" w:rsidR="00EF15BB" w:rsidRDefault="00EF1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0C32A5AE" w14:textId="77777777" w:rsidR="00EF15BB" w:rsidRDefault="0000000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ПРН 1. Вільно спілкуватися з професійних питань із фахівцями та нефахівцями державною та іноземними мовами усно й письмово, використовувати їх для організації ефективної міжкультурної комунікації.</w:t>
            </w:r>
          </w:p>
          <w:p w14:paraId="0E0AB84A" w14:textId="77777777" w:rsidR="00EF15BB" w:rsidRDefault="0000000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ПРН 10. Знати норми літературної мови та вміти їх застосовувати у практичній діяльності.</w:t>
            </w:r>
          </w:p>
          <w:p w14:paraId="4C4CAB93" w14:textId="77777777" w:rsidR="00EF15BB" w:rsidRDefault="0000000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ПРН 12. Аналізувати мовні одиниці, визначати їхню взаємодію та характеризувати мовні явища і процеси, що їх зумовлюють.</w:t>
            </w:r>
          </w:p>
          <w:p w14:paraId="345F0530" w14:textId="77777777" w:rsidR="00EF15BB" w:rsidRDefault="0000000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ПРН 15. Здійснювати лінгвістичний аналіз текстів різних жанрів і стилів.</w:t>
            </w:r>
          </w:p>
          <w:p w14:paraId="3C56D3A9" w14:textId="77777777" w:rsidR="00EF15BB" w:rsidRDefault="0000000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ПРН 17. Збирати, аналізувати, систематизувати й інтерпретувати факти мови й мовлення й використовувати їх для розв’язання складних задач і проблем у спеціалізованих сферах професійної діяльності та/або навчання.</w:t>
            </w:r>
          </w:p>
          <w:p w14:paraId="6A02D056" w14:textId="77777777" w:rsidR="00EF15BB" w:rsidRDefault="0000000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ПРН 21. Доступно й аргументовано пояснювати сутність конкретних філологічних питань і власну позицію щодо них як фахівцям, так і широкому загалу; вміти презентувати результати своїх досліджень державною та німецькою мовами.</w:t>
            </w:r>
          </w:p>
        </w:tc>
      </w:tr>
      <w:tr w:rsidR="00EF15BB" w14:paraId="31A0FE29" w14:textId="77777777">
        <w:tc>
          <w:tcPr>
            <w:tcW w:w="5211" w:type="dxa"/>
          </w:tcPr>
          <w:p w14:paraId="4733F9AB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Компетентності</w:t>
            </w:r>
          </w:p>
          <w:p w14:paraId="2FFDF63B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uk-UA"/>
              </w:rPr>
              <w:t>(Яку сукупну користь я отримаю від вивчення цієї дисципліни?)</w:t>
            </w:r>
          </w:p>
          <w:p w14:paraId="3CDBF87F" w14:textId="77777777" w:rsidR="00EF15BB" w:rsidRDefault="00EF1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5DD8E96A" w14:textId="77777777" w:rsidR="00EF15BB" w:rsidRDefault="00000000">
            <w:pPr>
              <w:spacing w:after="0" w:line="240" w:lineRule="auto"/>
              <w:ind w:firstLine="708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ІНТЕГРАЛЬНА КОМПЕТЕНТНІСТЬ (ІК)</w:t>
            </w:r>
          </w:p>
          <w:p w14:paraId="657F7A12" w14:textId="77777777" w:rsidR="00EF15BB" w:rsidRDefault="0000000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Здатність розв’язувати складні завдання і проблеми в галузі лінгвістики в процесі професійної діяльності або навчання, що передбачає транслювання інформації українською та німецькою мовами та / або здійснення професійної діяльності з використанням комплексу міждисциплінарних даних. </w:t>
            </w:r>
          </w:p>
          <w:p w14:paraId="667AFA53" w14:textId="77777777" w:rsidR="00EF15BB" w:rsidRDefault="00000000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ЗАГАЛЬНІ КОМПЕТЕНТНОСТІ (ЗК)</w:t>
            </w:r>
          </w:p>
          <w:p w14:paraId="16E230AD" w14:textId="77777777" w:rsidR="00EF15BB" w:rsidRDefault="0000000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ЗК 3. Здатність спілкуватися державною мовою як усно, так і письмово.</w:t>
            </w:r>
          </w:p>
          <w:p w14:paraId="7E720D3F" w14:textId="77777777" w:rsidR="00EF15BB" w:rsidRDefault="0000000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ЗК 5. Здатність учитися й оволодівати сучасними знаннями.</w:t>
            </w:r>
          </w:p>
          <w:p w14:paraId="78733720" w14:textId="77777777" w:rsidR="00EF15BB" w:rsidRDefault="0000000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ЗК 6. Здатність до пошуку, опрацювання та аналізу інформації з різних джерел.</w:t>
            </w:r>
          </w:p>
          <w:p w14:paraId="7716AF99" w14:textId="77777777" w:rsidR="00EF15BB" w:rsidRDefault="0000000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ЗК 8. Здатність працювати в команді й автономно, мотивувати людей і рухатися до спільної мети.</w:t>
            </w:r>
          </w:p>
          <w:p w14:paraId="3C5B6CDB" w14:textId="77777777" w:rsidR="00EF15BB" w:rsidRDefault="0000000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ЗК 9. Здатність спілкуватися іноземною (англійською та другою іноземною) мовою як усно, так і письмово. </w:t>
            </w:r>
          </w:p>
          <w:p w14:paraId="1A6BD32B" w14:textId="77777777" w:rsidR="00EF15BB" w:rsidRDefault="0000000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ЗК 10. Здатність до абстрактного мислення, аналізу і синтезу.</w:t>
            </w:r>
          </w:p>
          <w:p w14:paraId="3590E8A5" w14:textId="77777777" w:rsidR="00EF15BB" w:rsidRDefault="0000000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lastRenderedPageBreak/>
              <w:t>ЗК 11. Здатність застосовувати знання у практичних ситуаціях.</w:t>
            </w:r>
          </w:p>
          <w:p w14:paraId="1339DB7C" w14:textId="77777777" w:rsidR="00EF15BB" w:rsidRDefault="0000000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ЗК 12. Навички використання інформаційних і комунікаційних технологій.</w:t>
            </w:r>
          </w:p>
          <w:p w14:paraId="2DA5D9D9" w14:textId="77777777" w:rsidR="00EF15BB" w:rsidRDefault="0000000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ЗК 14. Здатність до здійснення політкоректної та етичної комунікації іноземною мовою з представниками різних соціальних груп та національних культур, усвідомлюючи та поважаючи феномен мультикультурності як важливої ознаки сучасного світу.</w:t>
            </w:r>
          </w:p>
          <w:p w14:paraId="4EA31D58" w14:textId="77777777" w:rsidR="00EF15BB" w:rsidRDefault="0000000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ФАХОВІ КОМПЕТЕНТНОСТІ (ФК)</w:t>
            </w:r>
          </w:p>
          <w:p w14:paraId="62A985B2" w14:textId="77777777" w:rsidR="00EF15BB" w:rsidRDefault="0000000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ФК 1. Усвідомлення структури філологічної науки та її теоретичних засад.</w:t>
            </w:r>
          </w:p>
          <w:p w14:paraId="1C7AD781" w14:textId="77777777" w:rsidR="00EF15BB" w:rsidRDefault="0000000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ФК 2. Здатність використовувати у професійній діяльності знання про мову як особливу знакову систему, її природу, функції, рівні. </w:t>
            </w:r>
          </w:p>
          <w:p w14:paraId="2FAA4189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ФК 8. Здатність вільно оперувати спеціальною термінологією для розв’язання професійних завдань.</w:t>
            </w:r>
          </w:p>
        </w:tc>
      </w:tr>
      <w:tr w:rsidR="00EF15BB" w14:paraId="04EFE3D9" w14:textId="77777777">
        <w:tc>
          <w:tcPr>
            <w:tcW w:w="5211" w:type="dxa"/>
          </w:tcPr>
          <w:p w14:paraId="08433920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lastRenderedPageBreak/>
              <w:t>Види занять і їхній розподіл за годинами</w:t>
            </w:r>
          </w:p>
          <w:p w14:paraId="15F32604" w14:textId="77777777" w:rsidR="00EF15BB" w:rsidRDefault="00EF1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2C06336F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Практичні заняття – 30 годин, самостійна робота – 60 годин.</w:t>
            </w:r>
          </w:p>
        </w:tc>
      </w:tr>
      <w:tr w:rsidR="00EF15BB" w14:paraId="7309578F" w14:textId="77777777">
        <w:tc>
          <w:tcPr>
            <w:tcW w:w="5211" w:type="dxa"/>
          </w:tcPr>
          <w:p w14:paraId="0204A9FE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Тематика (змістові модулі) навчальної дисципліни</w:t>
            </w:r>
          </w:p>
          <w:p w14:paraId="07FA248F" w14:textId="77777777" w:rsidR="00EF15BB" w:rsidRDefault="00EF1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225926AB" w14:textId="77777777" w:rsidR="00EF15BB" w:rsidRDefault="00000000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Змістовий модуль 1</w:t>
            </w:r>
            <w:r>
              <w:rPr>
                <w:sz w:val="24"/>
                <w:szCs w:val="24"/>
                <w:lang w:val="uk-UA"/>
              </w:rPr>
              <w:t xml:space="preserve"> </w:t>
            </w:r>
          </w:p>
          <w:p w14:paraId="512D38BD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 1. Інтонація та її компоненти. Ритміка. Паузація.</w:t>
            </w:r>
          </w:p>
          <w:p w14:paraId="4EE69851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 2. Інтонаційні моделі. Мелодика в різних типах речення.</w:t>
            </w:r>
          </w:p>
          <w:p w14:paraId="7F6E41ED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Особливості німецької мелодики у порівнянні з українською.</w:t>
            </w:r>
          </w:p>
          <w:p w14:paraId="43E40D85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 3. Фразовий наголос. Синтагма і правила поділу речення на синтагми.</w:t>
            </w:r>
          </w:p>
          <w:p w14:paraId="1EE77ADD" w14:textId="77777777" w:rsidR="00EF15BB" w:rsidRDefault="000000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Змістовий модуль 2 </w:t>
            </w:r>
          </w:p>
          <w:p w14:paraId="31613811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Тема 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 Класифікація голосних. Опозиція довгі – короткі голосні.</w:t>
            </w:r>
          </w:p>
          <w:p w14:paraId="79B0BE76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 2. Твердий приступ німецьких голосних звуків. Дифтонги.</w:t>
            </w:r>
          </w:p>
          <w:p w14:paraId="0C87B05A" w14:textId="77777777" w:rsidR="00EF15BB" w:rsidRDefault="000000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Змістовий модуль 3 </w:t>
            </w:r>
          </w:p>
          <w:p w14:paraId="4C852D5C" w14:textId="77777777" w:rsidR="00EF15BB" w:rsidRDefault="000000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 1. Класифікація приголосних. Дистинктивні ознаки німецьких приголосних.</w:t>
            </w:r>
          </w:p>
          <w:p w14:paraId="2C29F2E5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Тема 2. Аспірація. Закон оглушення кінця слова. </w:t>
            </w:r>
          </w:p>
          <w:p w14:paraId="6058182D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 3. Модифікація звуків у мовленні: редукція, гемінація.</w:t>
            </w:r>
          </w:p>
          <w:p w14:paraId="2EA46026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 4. Модифікація звуків у мовленні: асиміляція, акомодація.</w:t>
            </w:r>
          </w:p>
        </w:tc>
      </w:tr>
      <w:tr w:rsidR="00EF15BB" w14:paraId="3C577C3A" w14:textId="77777777">
        <w:tc>
          <w:tcPr>
            <w:tcW w:w="5211" w:type="dxa"/>
          </w:tcPr>
          <w:p w14:paraId="48710D46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Політика оцінювання (розподіл балів і критерії)</w:t>
            </w:r>
          </w:p>
          <w:p w14:paraId="341707E1" w14:textId="77777777" w:rsidR="00EF15BB" w:rsidRDefault="00EF1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72960738" w14:textId="77777777" w:rsidR="00EF15BB" w:rsidRDefault="00000000">
            <w:pPr>
              <w:tabs>
                <w:tab w:val="left" w:pos="720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Система модульно-рейтингового контролю навчальних досягнень студентів реалізується за наступною технологією. Оцінюються такі складники: </w:t>
            </w:r>
          </w:p>
          <w:p w14:paraId="009FF04D" w14:textId="77777777" w:rsidR="00EF15BB" w:rsidRDefault="000000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аудиторна та самостійна робота студента – 50 балів, МКР – 50 балів.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</w:r>
          </w:p>
          <w:p w14:paraId="12D25E51" w14:textId="77777777" w:rsidR="00EF15BB" w:rsidRDefault="0000000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Семестровий рейтинговий бал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є сумою рейтингового балу за роботу протягом семестру і рейтингового балу за МКР.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Максимальний рейтинговий бал студента становить 100 балів.</w:t>
            </w:r>
          </w:p>
          <w:p w14:paraId="2B790093" w14:textId="77777777" w:rsidR="00EF15BB" w:rsidRDefault="0000000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Оцінювання на заліку здійснюється за національною шкалою, за 100-бальною шкалою і шкалою ЄКТС. На заліку екзаменатор виставляє семестровий рейтинговий бал, оцінку за залік (“зараховано / не зараховано”), кількість балів за 100-бальною шкалою й оцінку за шкалою ЄКТС. </w:t>
            </w:r>
          </w:p>
          <w:p w14:paraId="5C17E0C1" w14:textId="77777777" w:rsidR="00EF15BB" w:rsidRDefault="00000000">
            <w:pPr>
              <w:shd w:val="clear" w:color="auto" w:fill="FFFFFF"/>
              <w:tabs>
                <w:tab w:val="left" w:pos="293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/>
                <w:sz w:val="24"/>
                <w:szCs w:val="28"/>
                <w:lang w:val="uk-UA"/>
              </w:rPr>
              <w:lastRenderedPageBreak/>
              <w:t xml:space="preserve"> Студенти, які мають семестровий рейтинговий бал з навчальної дисципліни </w:t>
            </w:r>
            <w:r>
              <w:rPr>
                <w:rFonts w:ascii="Times New Roman" w:hAnsi="Times New Roman"/>
                <w:bCs/>
                <w:iCs/>
                <w:sz w:val="24"/>
                <w:szCs w:val="28"/>
                <w:lang w:val="uk-UA"/>
              </w:rPr>
              <w:t>60 і вище,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отримують оцінку </w:t>
            </w:r>
            <w:r>
              <w:rPr>
                <w:rFonts w:ascii="Times New Roman" w:hAnsi="Times New Roman"/>
                <w:bCs/>
                <w:iCs/>
                <w:sz w:val="24"/>
                <w:szCs w:val="28"/>
                <w:lang w:val="uk-UA"/>
              </w:rPr>
              <w:t>“зараховано”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і відповідну оцінку у шкалі ЄКТС без складання заліку. Студенти, які мають семестровий рейтинговий бал з дисципліни </w:t>
            </w:r>
            <w:r>
              <w:rPr>
                <w:rFonts w:ascii="Times New Roman" w:hAnsi="Times New Roman"/>
                <w:bCs/>
                <w:iCs/>
                <w:sz w:val="24"/>
                <w:szCs w:val="28"/>
                <w:lang w:val="uk-UA"/>
              </w:rPr>
              <w:t>59 і нижче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>, складають залік.</w:t>
            </w:r>
          </w:p>
          <w:p w14:paraId="1B162A0A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Якщо студент на заліку отримав підсумкову оцінку з дисципліни за національною шкалою </w:t>
            </w:r>
            <w:r>
              <w:rPr>
                <w:rFonts w:ascii="Times New Roman" w:hAnsi="Times New Roman"/>
                <w:bCs/>
                <w:sz w:val="24"/>
                <w:szCs w:val="28"/>
                <w:lang w:val="uk-UA"/>
              </w:rPr>
              <w:t>“не зараховано”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, то, крім цієї оцінки, у відомості обліку успішності йому </w:t>
            </w:r>
            <w:r>
              <w:rPr>
                <w:rFonts w:ascii="Times New Roman" w:hAnsi="Times New Roman"/>
                <w:bCs/>
                <w:sz w:val="24"/>
                <w:szCs w:val="28"/>
                <w:lang w:val="uk-UA"/>
              </w:rPr>
              <w:t xml:space="preserve">незалежно від набраного семестрового рейтингового балу 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виставляється оцінка </w:t>
            </w:r>
            <w:r>
              <w:rPr>
                <w:rFonts w:ascii="Times New Roman" w:hAnsi="Times New Roman"/>
                <w:bCs/>
                <w:iCs/>
                <w:sz w:val="24"/>
                <w:szCs w:val="28"/>
                <w:lang w:val="uk-UA"/>
              </w:rPr>
              <w:t>FX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за шкалою ЄКТС і </w:t>
            </w:r>
            <w:r>
              <w:rPr>
                <w:rFonts w:ascii="Times New Roman" w:hAnsi="Times New Roman"/>
                <w:bCs/>
                <w:sz w:val="24"/>
                <w:szCs w:val="28"/>
                <w:lang w:val="uk-UA"/>
              </w:rPr>
              <w:t>0 балів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за 100-бальною шкалою.</w:t>
            </w:r>
          </w:p>
        </w:tc>
      </w:tr>
      <w:tr w:rsidR="00EF15BB" w:rsidRPr="00255554" w14:paraId="5B09319D" w14:textId="77777777">
        <w:tc>
          <w:tcPr>
            <w:tcW w:w="5211" w:type="dxa"/>
          </w:tcPr>
          <w:p w14:paraId="03459890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lastRenderedPageBreak/>
              <w:t>Пререквізити (передумови вивчення дисципліни)</w:t>
            </w:r>
          </w:p>
          <w:p w14:paraId="1FFA7779" w14:textId="77777777" w:rsidR="00EF15BB" w:rsidRDefault="00EF1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66C62869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Передумовами вивчення навчальної дисципліни «Усний німецькомовний дискурс: фонетичні та фонологічні аспекти» є успішне опанування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знань з  практичної фонетики англійської мови та їх з</w:t>
            </w:r>
            <w:r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  <w:t>астосування під час вивчення німецької мови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. Студенти повинні вміти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  <w:t>зіставляти одиниці сегментного та супрасегментного рівнів сучасної німецької мови з відповідними одиницями української та англійської мов, аналізувати фонетичні і фонологічні особливості рідної та іноземних мов, розпізнавати свої і чужі фонетичні помилки, виправляти власні помилки в усному мовленні.</w:t>
            </w:r>
          </w:p>
        </w:tc>
      </w:tr>
      <w:tr w:rsidR="00EF15BB" w:rsidRPr="00255554" w14:paraId="64FC57BD" w14:textId="77777777">
        <w:tc>
          <w:tcPr>
            <w:tcW w:w="5211" w:type="dxa"/>
          </w:tcPr>
          <w:p w14:paraId="0AC13C57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Навчально-методичне й інформаційне забезпечення</w:t>
            </w:r>
          </w:p>
          <w:p w14:paraId="32348317" w14:textId="77777777" w:rsidR="00EF15BB" w:rsidRDefault="00EF1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2395C6A6" w14:textId="77777777" w:rsidR="00EF15BB" w:rsidRDefault="00000000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Основна література:</w:t>
            </w:r>
          </w:p>
          <w:p w14:paraId="43F2981C" w14:textId="77777777" w:rsidR="00EF15BB" w:rsidRDefault="00000000">
            <w:pPr>
              <w:shd w:val="clear" w:color="auto" w:fill="FFFFFF"/>
              <w:spacing w:after="0" w:line="240" w:lineRule="auto"/>
              <w:ind w:left="284" w:right="29" w:hanging="28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pacing w:val="-6"/>
                <w:sz w:val="24"/>
                <w:szCs w:val="24"/>
                <w:lang w:val="uk-UA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Middlemann,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D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(2005). Sprechen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Hören – Sprechen: Übungsbuch zur deutschen Aussprache.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Ismaning: Max Hueber Verlag. </w:t>
            </w:r>
          </w:p>
          <w:p w14:paraId="4CC240CA" w14:textId="77777777" w:rsidR="00EF15BB" w:rsidRDefault="00000000">
            <w:pPr>
              <w:shd w:val="clear" w:color="auto" w:fill="FFFFFF"/>
              <w:spacing w:after="0" w:line="240" w:lineRule="auto"/>
              <w:ind w:left="284" w:right="29" w:hanging="284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Niebisch, D. (2019). Deutsch üben. Phonetik – Übungen und Tipps für eine gute Aussprache für A1. München: Hueber Verlag GmbH &amp; Co KG.</w:t>
            </w:r>
          </w:p>
          <w:p w14:paraId="533C5E52" w14:textId="77777777" w:rsidR="00EF15BB" w:rsidRDefault="00000000">
            <w:pPr>
              <w:shd w:val="clear" w:color="auto" w:fill="FFFFFF"/>
              <w:spacing w:after="0" w:line="240" w:lineRule="auto"/>
              <w:ind w:left="284" w:right="29" w:hanging="284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Reinke, K. (2011). Einfach deutsch aussprechen. Phonetischer Einführungskurs. Deutsch als Fremdsprache. Leipzig</w:t>
            </w:r>
            <w:r>
              <w:rPr>
                <w:rFonts w:ascii="Times New Roman" w:eastAsia="Times New Roman" w:hAnsi="Times New Roman"/>
                <w:lang w:val="uk-UA" w:eastAsia="ru-RU"/>
              </w:rPr>
              <w:t>: Schubert-Verlag.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</w:p>
          <w:p w14:paraId="4DFB60EE" w14:textId="77777777" w:rsidR="00EF15BB" w:rsidRDefault="00000000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5555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Додаткова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література:</w:t>
            </w:r>
          </w:p>
          <w:p w14:paraId="3FC26EF1" w14:textId="77777777" w:rsidR="00EF15BB" w:rsidRDefault="00000000">
            <w:pPr>
              <w:pStyle w:val="10"/>
              <w:ind w:left="284" w:hanging="284"/>
              <w:jc w:val="both"/>
              <w:rPr>
                <w:rFonts w:ascii="Times New Roman" w:eastAsia="Times New Roman" w:hAnsi="Times New Roman"/>
                <w:lang w:val="de-DE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1.</w:t>
            </w:r>
            <w:r>
              <w:rPr>
                <w:rFonts w:ascii="Times New Roman" w:eastAsia="Times New Roman" w:hAnsi="Times New Roman"/>
                <w:lang w:val="de-DE" w:eastAsia="ru-RU"/>
              </w:rPr>
              <w:t xml:space="preserve"> Bunk,</w:t>
            </w:r>
            <w:r>
              <w:rPr>
                <w:rFonts w:ascii="Times New Roman" w:eastAsia="Times New Roman" w:hAnsi="Times New Roman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de-DE" w:eastAsia="ru-RU"/>
              </w:rPr>
              <w:t>Gerhard I</w:t>
            </w:r>
            <w:r>
              <w:rPr>
                <w:rFonts w:ascii="Times New Roman" w:eastAsia="Times New Roman" w:hAnsi="Times New Roman"/>
                <w:lang w:val="uk-UA"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lang w:val="de-DE" w:eastAsia="ru-RU"/>
              </w:rPr>
              <w:t>S</w:t>
            </w:r>
            <w:r>
              <w:rPr>
                <w:rFonts w:ascii="Times New Roman" w:eastAsia="Times New Roman" w:hAnsi="Times New Roman"/>
                <w:lang w:val="uk-UA"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lang w:val="de-DE" w:eastAsia="ru-RU"/>
              </w:rPr>
              <w:t>(</w:t>
            </w:r>
            <w:r>
              <w:rPr>
                <w:rFonts w:ascii="Times New Roman" w:eastAsia="Times New Roman" w:hAnsi="Times New Roman"/>
                <w:lang w:val="uk-UA" w:eastAsia="ru-RU"/>
              </w:rPr>
              <w:t>2009</w:t>
            </w:r>
            <w:r>
              <w:rPr>
                <w:rFonts w:ascii="Times New Roman" w:eastAsia="Times New Roman" w:hAnsi="Times New Roman"/>
                <w:lang w:val="de-DE" w:eastAsia="ru-RU"/>
              </w:rPr>
              <w:t>). Phonetik aktuell.</w:t>
            </w:r>
            <w:r>
              <w:rPr>
                <w:rFonts w:ascii="Times New Roman" w:eastAsia="Times New Roman" w:hAnsi="Times New Roman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de-DE" w:eastAsia="ru-RU"/>
              </w:rPr>
              <w:t xml:space="preserve">Deutsch als Fremdsprache. </w:t>
            </w:r>
            <w:r>
              <w:rPr>
                <w:rFonts w:ascii="Times New Roman" w:hAnsi="Times New Roman"/>
                <w:lang w:val="de-DE"/>
              </w:rPr>
              <w:t>Ismaning: Max Hueber Verlag.</w:t>
            </w:r>
          </w:p>
          <w:p w14:paraId="2126DD48" w14:textId="77777777" w:rsidR="00EF15BB" w:rsidRDefault="00000000">
            <w:pPr>
              <w:pStyle w:val="10"/>
              <w:ind w:left="284" w:hanging="284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2.</w:t>
            </w:r>
            <w:r>
              <w:rPr>
                <w:rFonts w:ascii="Times New Roman" w:eastAsia="Times New Roman" w:hAnsi="Times New Roman"/>
                <w:lang w:val="de-DE" w:eastAsia="ru-RU"/>
              </w:rPr>
              <w:t xml:space="preserve"> DUDEN Aussprachewörterbuch (2015). Band 6. 7. Auflage. Berlin: Dudenverlag.</w:t>
            </w:r>
          </w:p>
          <w:p w14:paraId="6B03E2CD" w14:textId="77777777" w:rsidR="00EF15BB" w:rsidRDefault="00000000">
            <w:pPr>
              <w:pStyle w:val="10"/>
              <w:ind w:left="284" w:hanging="284"/>
              <w:jc w:val="both"/>
              <w:rPr>
                <w:rFonts w:ascii="Times New Roman" w:eastAsia="Times New Roman" w:hAnsi="Times New Roman"/>
                <w:lang w:val="de-DE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3. Reinke, K. (201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lang w:val="uk-UA" w:eastAsia="ru-RU"/>
              </w:rPr>
              <w:t>). Phoneti</w:t>
            </w:r>
            <w:r>
              <w:rPr>
                <w:rFonts w:ascii="Times New Roman" w:eastAsia="Times New Roman" w:hAnsi="Times New Roman"/>
                <w:lang w:eastAsia="ru-RU"/>
              </w:rPr>
              <w:t>ktrainer A1-B1</w:t>
            </w:r>
            <w:r>
              <w:rPr>
                <w:rFonts w:ascii="Times New Roman" w:eastAsia="Times New Roman" w:hAnsi="Times New Roman"/>
                <w:lang w:val="uk-UA"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de-DE" w:eastAsia="ru-RU"/>
              </w:rPr>
              <w:t>Aussichten.</w:t>
            </w:r>
            <w:r>
              <w:rPr>
                <w:rFonts w:ascii="Times New Roman" w:eastAsia="Times New Roman" w:hAnsi="Times New Roman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de-DE" w:eastAsia="ru-RU"/>
              </w:rPr>
              <w:t>Stuttgart</w:t>
            </w:r>
            <w:r>
              <w:rPr>
                <w:rFonts w:ascii="Times New Roman" w:eastAsia="Times New Roman" w:hAnsi="Times New Roman"/>
                <w:lang w:val="uk-UA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lang w:val="de-DE" w:eastAsia="ru-RU"/>
              </w:rPr>
              <w:t>Ernst Klett Sprachen GmbH</w:t>
            </w:r>
            <w:r>
              <w:rPr>
                <w:rFonts w:ascii="Times New Roman" w:eastAsia="Times New Roman" w:hAnsi="Times New Roman"/>
                <w:lang w:val="uk-UA" w:eastAsia="ru-RU"/>
              </w:rPr>
              <w:t xml:space="preserve">. </w:t>
            </w:r>
          </w:p>
          <w:p w14:paraId="0F20D5E6" w14:textId="77777777" w:rsidR="00EF15BB" w:rsidRDefault="00000000">
            <w:pPr>
              <w:pStyle w:val="10"/>
              <w:ind w:left="284" w:hanging="284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4. </w:t>
            </w:r>
            <w:r>
              <w:rPr>
                <w:rFonts w:ascii="Times New Roman" w:eastAsia="Times New Roman" w:hAnsi="Times New Roman"/>
                <w:lang w:val="uk-UA" w:eastAsia="ru-RU"/>
              </w:rPr>
              <w:t>Reinke, K. (201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lang w:val="uk-UA" w:eastAsia="ru-RU"/>
              </w:rPr>
              <w:t>). Phoneti</w:t>
            </w:r>
            <w:r>
              <w:rPr>
                <w:rFonts w:ascii="Times New Roman" w:eastAsia="Times New Roman" w:hAnsi="Times New Roman"/>
                <w:lang w:eastAsia="ru-RU"/>
              </w:rPr>
              <w:t>ktrainer A1-B1</w:t>
            </w:r>
            <w:r>
              <w:rPr>
                <w:rFonts w:ascii="Times New Roman" w:eastAsia="Times New Roman" w:hAnsi="Times New Roman"/>
                <w:lang w:val="uk-UA"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de-DE" w:eastAsia="ru-RU"/>
              </w:rPr>
              <w:t>Aussichten.</w:t>
            </w:r>
            <w:r>
              <w:rPr>
                <w:rFonts w:ascii="Times New Roman" w:eastAsia="Times New Roman" w:hAnsi="Times New Roman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de-DE" w:eastAsia="ru-RU"/>
              </w:rPr>
              <w:t>Zusätzliche Übungen. Stuttgart</w:t>
            </w:r>
            <w:r>
              <w:rPr>
                <w:rFonts w:ascii="Times New Roman" w:eastAsia="Times New Roman" w:hAnsi="Times New Roman"/>
                <w:lang w:val="uk-UA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lang w:val="de-DE" w:eastAsia="ru-RU"/>
              </w:rPr>
              <w:t>Ernst Klett Sprachen GmbH</w:t>
            </w:r>
            <w:r>
              <w:rPr>
                <w:rFonts w:ascii="Times New Roman" w:eastAsia="Times New Roman" w:hAnsi="Times New Roman"/>
                <w:lang w:val="uk-UA" w:eastAsia="ru-RU"/>
              </w:rPr>
              <w:t>.</w:t>
            </w:r>
          </w:p>
          <w:p w14:paraId="79BAA31B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Додаткові ресурси:</w:t>
            </w:r>
          </w:p>
          <w:p w14:paraId="081038C0" w14:textId="77777777" w:rsidR="00EF15BB" w:rsidRDefault="00000000">
            <w:pPr>
              <w:pStyle w:val="10"/>
              <w:ind w:left="284" w:hanging="284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1. https://www.</w:t>
            </w:r>
            <w:r>
              <w:rPr>
                <w:rFonts w:ascii="Times New Roman" w:eastAsia="Times New Roman" w:hAnsi="Times New Roman"/>
                <w:lang w:eastAsia="ru-RU"/>
              </w:rPr>
              <w:t>hue</w:t>
            </w:r>
            <w:r>
              <w:rPr>
                <w:rFonts w:ascii="Times New Roman" w:eastAsia="Times New Roman" w:hAnsi="Times New Roman"/>
                <w:lang w:val="uk-UA" w:eastAsia="ru-RU"/>
              </w:rPr>
              <w:t>be</w:t>
            </w:r>
            <w:r>
              <w:rPr>
                <w:rFonts w:ascii="Times New Roman" w:eastAsia="Times New Roman" w:hAnsi="Times New Roman"/>
                <w:lang w:eastAsia="ru-RU"/>
              </w:rPr>
              <w:t>r</w:t>
            </w:r>
            <w:r>
              <w:rPr>
                <w:rFonts w:ascii="Times New Roman" w:eastAsia="Times New Roman" w:hAnsi="Times New Roman"/>
                <w:lang w:val="uk-UA"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>de</w:t>
            </w:r>
            <w:r>
              <w:rPr>
                <w:rFonts w:ascii="Times New Roman" w:eastAsia="Times New Roman" w:hAnsi="Times New Roman"/>
                <w:lang w:val="uk-UA" w:eastAsia="ru-RU"/>
              </w:rPr>
              <w:t>/</w:t>
            </w:r>
            <w:r>
              <w:rPr>
                <w:rFonts w:ascii="Times New Roman" w:eastAsia="Times New Roman" w:hAnsi="Times New Roman"/>
                <w:lang w:eastAsia="ru-RU"/>
              </w:rPr>
              <w:t>audioservice</w:t>
            </w:r>
          </w:p>
          <w:p w14:paraId="715DCDA0" w14:textId="77777777" w:rsidR="00EF15BB" w:rsidRDefault="00000000">
            <w:pPr>
              <w:pStyle w:val="10"/>
              <w:ind w:left="284" w:hanging="284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 xml:space="preserve">2. </w:t>
            </w:r>
            <w:r>
              <w:rPr>
                <w:rFonts w:ascii="Times New Roman" w:eastAsia="Times New Roman" w:hAnsi="Times New Roman"/>
                <w:lang w:eastAsia="ru-RU"/>
              </w:rPr>
              <w:t>https</w:t>
            </w:r>
            <w:r>
              <w:rPr>
                <w:rFonts w:ascii="Times New Roman" w:eastAsia="Times New Roman" w:hAnsi="Times New Roman"/>
                <w:lang w:val="uk-UA" w:eastAsia="ru-RU"/>
              </w:rPr>
              <w:t>://</w:t>
            </w:r>
            <w:r>
              <w:rPr>
                <w:rFonts w:ascii="Times New Roman" w:eastAsia="Times New Roman" w:hAnsi="Times New Roman"/>
                <w:lang w:eastAsia="ru-RU"/>
              </w:rPr>
              <w:t>orthografietrainer</w:t>
            </w:r>
            <w:r>
              <w:rPr>
                <w:rFonts w:ascii="Times New Roman" w:eastAsia="Times New Roman" w:hAnsi="Times New Roman"/>
                <w:lang w:val="uk-UA"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>net</w:t>
            </w:r>
            <w:r>
              <w:rPr>
                <w:rFonts w:ascii="Times New Roman" w:eastAsia="Times New Roman" w:hAnsi="Times New Roman"/>
                <w:lang w:val="uk-UA" w:eastAsia="ru-RU"/>
              </w:rPr>
              <w:t>/</w:t>
            </w:r>
            <w:r>
              <w:rPr>
                <w:rFonts w:ascii="Times New Roman" w:eastAsia="Times New Roman" w:hAnsi="Times New Roman"/>
                <w:lang w:eastAsia="ru-RU"/>
              </w:rPr>
              <w:t>uebung</w:t>
            </w:r>
            <w:r>
              <w:rPr>
                <w:rFonts w:ascii="Times New Roman" w:eastAsia="Times New Roman" w:hAnsi="Times New Roman"/>
                <w:lang w:val="uk-UA" w:eastAsia="ru-RU"/>
              </w:rPr>
              <w:t>/</w:t>
            </w:r>
            <w:r>
              <w:rPr>
                <w:rFonts w:ascii="Times New Roman" w:eastAsia="Times New Roman" w:hAnsi="Times New Roman"/>
                <w:lang w:eastAsia="ru-RU"/>
              </w:rPr>
              <w:t>uebungsauswahl</w:t>
            </w:r>
            <w:r>
              <w:rPr>
                <w:rFonts w:ascii="Times New Roman" w:eastAsia="Times New Roman" w:hAnsi="Times New Roman"/>
                <w:lang w:val="uk-UA"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>php</w:t>
            </w:r>
          </w:p>
          <w:p w14:paraId="36A675F3" w14:textId="77777777" w:rsidR="00EF15BB" w:rsidRDefault="00000000">
            <w:pPr>
              <w:pStyle w:val="10"/>
              <w:ind w:left="284" w:hanging="284"/>
              <w:jc w:val="both"/>
              <w:rPr>
                <w:rStyle w:val="a8"/>
                <w:rFonts w:eastAsia="Times New Roman"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 xml:space="preserve">3. </w:t>
            </w:r>
            <w:r>
              <w:rPr>
                <w:rFonts w:ascii="Times New Roman" w:eastAsia="Times New Roman" w:hAnsi="Times New Roman"/>
                <w:lang w:eastAsia="ru-RU"/>
              </w:rPr>
              <w:t>https</w:t>
            </w:r>
            <w:r>
              <w:rPr>
                <w:rFonts w:ascii="Times New Roman" w:eastAsia="Times New Roman" w:hAnsi="Times New Roman"/>
                <w:lang w:val="uk-UA" w:eastAsia="ru-RU"/>
              </w:rPr>
              <w:t>://</w:t>
            </w:r>
            <w:r>
              <w:rPr>
                <w:rFonts w:ascii="Times New Roman" w:eastAsia="Times New Roman" w:hAnsi="Times New Roman"/>
                <w:lang w:eastAsia="ru-RU"/>
              </w:rPr>
              <w:t>soundsofspeech</w:t>
            </w:r>
            <w:r>
              <w:rPr>
                <w:rFonts w:ascii="Times New Roman" w:eastAsia="Times New Roman" w:hAnsi="Times New Roman"/>
                <w:lang w:val="uk-UA"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>uiowa</w:t>
            </w:r>
            <w:r>
              <w:rPr>
                <w:rFonts w:ascii="Times New Roman" w:eastAsia="Times New Roman" w:hAnsi="Times New Roman"/>
                <w:lang w:val="uk-UA"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>edu</w:t>
            </w:r>
            <w:r>
              <w:rPr>
                <w:rFonts w:ascii="Times New Roman" w:eastAsia="Times New Roman" w:hAnsi="Times New Roman"/>
                <w:lang w:val="uk-UA" w:eastAsia="ru-RU"/>
              </w:rPr>
              <w:t>/</w:t>
            </w:r>
            <w:r>
              <w:rPr>
                <w:rFonts w:ascii="Times New Roman" w:eastAsia="Times New Roman" w:hAnsi="Times New Roman"/>
                <w:lang w:eastAsia="ru-RU"/>
              </w:rPr>
              <w:t>german</w:t>
            </w:r>
          </w:p>
          <w:p w14:paraId="2B07CAD0" w14:textId="77777777" w:rsidR="00EF15BB" w:rsidRDefault="00000000">
            <w:pPr>
              <w:pStyle w:val="10"/>
              <w:ind w:left="284" w:hanging="284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4.</w:t>
            </w:r>
            <w:r>
              <w:rPr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https</w:t>
            </w:r>
            <w:r>
              <w:rPr>
                <w:rFonts w:ascii="Times New Roman" w:eastAsia="Times New Roman" w:hAnsi="Times New Roman"/>
                <w:lang w:val="uk-UA" w:eastAsia="ru-RU"/>
              </w:rPr>
              <w:t>://</w:t>
            </w:r>
            <w:r>
              <w:rPr>
                <w:rFonts w:ascii="Times New Roman" w:eastAsia="Times New Roman" w:hAnsi="Times New Roman"/>
                <w:lang w:eastAsia="ru-RU"/>
              </w:rPr>
              <w:t>de</w:t>
            </w:r>
            <w:r>
              <w:rPr>
                <w:rFonts w:ascii="Times New Roman" w:eastAsia="Times New Roman" w:hAnsi="Times New Roman"/>
                <w:lang w:val="uk-UA"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>forvo</w:t>
            </w:r>
            <w:r>
              <w:rPr>
                <w:rFonts w:ascii="Times New Roman" w:eastAsia="Times New Roman" w:hAnsi="Times New Roman"/>
                <w:lang w:val="uk-UA"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>com</w:t>
            </w:r>
            <w:r>
              <w:rPr>
                <w:rFonts w:ascii="Times New Roman" w:eastAsia="Times New Roman" w:hAnsi="Times New Roman"/>
                <w:lang w:val="uk-UA" w:eastAsia="ru-RU"/>
              </w:rPr>
              <w:t>/</w:t>
            </w:r>
            <w:r>
              <w:rPr>
                <w:rFonts w:ascii="Times New Roman" w:eastAsia="Times New Roman" w:hAnsi="Times New Roman"/>
                <w:lang w:eastAsia="ru-RU"/>
              </w:rPr>
              <w:t>languages</w:t>
            </w:r>
            <w:r>
              <w:rPr>
                <w:rFonts w:ascii="Times New Roman" w:eastAsia="Times New Roman" w:hAnsi="Times New Roman"/>
                <w:lang w:val="uk-UA" w:eastAsia="ru-RU"/>
              </w:rPr>
              <w:t>/</w:t>
            </w:r>
            <w:r>
              <w:rPr>
                <w:rFonts w:ascii="Times New Roman" w:eastAsia="Times New Roman" w:hAnsi="Times New Roman"/>
                <w:lang w:eastAsia="ru-RU"/>
              </w:rPr>
              <w:t>de</w:t>
            </w:r>
            <w:r>
              <w:rPr>
                <w:rFonts w:ascii="Times New Roman" w:eastAsia="Times New Roman" w:hAnsi="Times New Roman"/>
                <w:lang w:val="uk-UA" w:eastAsia="ru-RU"/>
              </w:rPr>
              <w:t>/</w:t>
            </w:r>
          </w:p>
        </w:tc>
      </w:tr>
      <w:tr w:rsidR="00EF15BB" w14:paraId="7A950708" w14:textId="77777777">
        <w:tc>
          <w:tcPr>
            <w:tcW w:w="5211" w:type="dxa"/>
          </w:tcPr>
          <w:p w14:paraId="3FBEE71F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Форми і способи поточного та семестрового контролю</w:t>
            </w:r>
          </w:p>
          <w:p w14:paraId="19B55499" w14:textId="77777777" w:rsidR="00EF15BB" w:rsidRDefault="00EF1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5C7B3E3B" w14:textId="77777777" w:rsidR="00EF15BB" w:rsidRDefault="00000000">
            <w:pPr>
              <w:spacing w:after="0" w:line="240" w:lineRule="auto"/>
              <w:ind w:firstLine="567"/>
              <w:jc w:val="both"/>
              <w:outlineLvl w:val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Style w:val="ac"/>
                <w:bCs/>
                <w:sz w:val="24"/>
                <w:szCs w:val="28"/>
              </w:rPr>
              <w:t xml:space="preserve">Поточний контроль </w:t>
            </w:r>
            <w:r>
              <w:rPr>
                <w:rStyle w:val="ab"/>
                <w:rFonts w:ascii="Times New Roman" w:hAnsi="Times New Roman"/>
                <w:sz w:val="24"/>
                <w:szCs w:val="28"/>
              </w:rPr>
              <w:t xml:space="preserve">проводиться на кожному практичному занятті та за результатами виконання завдань самостійної роботи.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Поточне оцінювання всіх видів навчальної діяльності студента (аудиторна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 xml:space="preserve">робота та самостійна робота) здійснюється в національній 4-бальній шкалі – «відмінно» («5»), «добре» («4»), «задовільно» («3»), «незадовільно» («2»). Невиконання завдань самостійної роботи, невідвідування практичних занять позначаються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«0».</w:t>
            </w:r>
            <w:r>
              <w:rPr>
                <w:rStyle w:val="ac"/>
                <w:bCs/>
                <w:sz w:val="24"/>
                <w:szCs w:val="28"/>
              </w:rPr>
              <w:t xml:space="preserve"> </w:t>
            </w:r>
          </w:p>
          <w:p w14:paraId="7F0F56AA" w14:textId="77777777" w:rsidR="00EF15BB" w:rsidRDefault="00000000">
            <w:pPr>
              <w:spacing w:after="0" w:line="240" w:lineRule="auto"/>
              <w:ind w:firstLine="589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Підсумковий контроль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з дисципліни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Міжкультурна комунікація: перекладознавчий аспект (німецька й українська мови)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» відбувається у кінці вивчення навчального матеріалу курсу і складається модульної контрольної роботи і семестрового контролю у формі заліку.</w:t>
            </w:r>
          </w:p>
          <w:p w14:paraId="0A7CB3EB" w14:textId="77777777" w:rsidR="00EF15BB" w:rsidRDefault="00000000">
            <w:pPr>
              <w:spacing w:after="0" w:line="240" w:lineRule="auto"/>
              <w:ind w:firstLine="589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Напередодні заліково-екзаменаційної сесії викладач виставляє одну оцінку за аудиторну та самостійну роботу студента як середнє арифметичне з усіх поточних оцінок за ці види роботи з округленням до десятої частки. Цю оцінку викладач трансформує в рейтинговий бал за роботу протягом семестру шляхом помноження на 10. Таким чином, максимальний рейтинговий бал за роботу протягом семестру може становити 50.</w:t>
            </w:r>
          </w:p>
          <w:p w14:paraId="6D0EF118" w14:textId="77777777" w:rsidR="00EF15BB" w:rsidRDefault="0000000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Модульна контрольна робота (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МКР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) є складником семестрового рейтингу і оцінюється в 4-бальній системі («відмінно» («5»), «добре» («4»), «задовільно» («3»), «незадовільно» («2»)).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</w:p>
          <w:p w14:paraId="714424CB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МКР з дисципліни </w:t>
            </w:r>
            <w:r>
              <w:rPr>
                <w:rFonts w:ascii="Times New Roman" w:hAnsi="Times New Roman"/>
                <w:lang w:val="uk-UA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Міжкультурна комунікація: перекладознавчий аспект (німецька й українська мови)</w:t>
            </w:r>
            <w:r>
              <w:rPr>
                <w:rFonts w:ascii="Times New Roman" w:hAnsi="Times New Roman"/>
                <w:lang w:val="uk-UA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складається з таких завдань: відповідь на теоретичне питання і виконання двох практичних завдань. Відповід</w:t>
            </w:r>
            <w:r>
              <w:rPr>
                <w:rFonts w:ascii="Times New Roman" w:hAnsi="Times New Roman"/>
                <w:lang w:val="uk-UA"/>
              </w:rPr>
              <w:t xml:space="preserve">ь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 теоретичні питання оцінюються за критерієм: правильність і повнота відповіді,</w:t>
            </w:r>
          </w:p>
          <w:p w14:paraId="5E448258" w14:textId="77777777" w:rsidR="00EF15BB" w:rsidRDefault="00000000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точність формулювань. Кількість балів за завдання – 15. Виконання практичних завдань оцінюється за критеріями: зміст, форма, відповідність інструкції, адекватність перекладу. Кількість балів за виконання практичних завдань – 35.</w:t>
            </w:r>
          </w:p>
          <w:p w14:paraId="05495AE4" w14:textId="77777777" w:rsidR="00EF15BB" w:rsidRDefault="0000000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МКР є складником семестрового рейтингу і оцінюється в 4-бальній системі («відмінно» («5»), «добре» («4»), «задовільно» («3»), «незадовільно» («2»)). Ці оцінки трансформуються в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рейтинговий бал за МКР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у такий спосіб:</w:t>
            </w:r>
          </w:p>
          <w:p w14:paraId="6A308609" w14:textId="77777777" w:rsidR="00EF15BB" w:rsidRDefault="0000000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 «відмінно»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>– 50 балів;</w:t>
            </w:r>
          </w:p>
          <w:p w14:paraId="629303B9" w14:textId="77777777" w:rsidR="00EF15BB" w:rsidRDefault="00000000">
            <w:pPr>
              <w:spacing w:after="0" w:line="240" w:lineRule="auto"/>
              <w:ind w:left="540" w:firstLine="18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«добре»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ab/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– 40 балів;</w:t>
            </w:r>
          </w:p>
          <w:p w14:paraId="3D02C518" w14:textId="77777777" w:rsidR="00EF15BB" w:rsidRDefault="00000000">
            <w:pPr>
              <w:spacing w:after="0" w:line="240" w:lineRule="auto"/>
              <w:ind w:left="540" w:firstLine="18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«задовільно»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– 30 балів;</w:t>
            </w:r>
          </w:p>
          <w:p w14:paraId="2E501159" w14:textId="77777777" w:rsidR="00EF15BB" w:rsidRDefault="00000000">
            <w:pPr>
              <w:spacing w:after="0" w:line="240" w:lineRule="auto"/>
              <w:ind w:left="540" w:firstLine="18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«незадовільно»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– 20 балів;</w:t>
            </w:r>
          </w:p>
          <w:p w14:paraId="50B63ED3" w14:textId="77777777" w:rsidR="00EF15BB" w:rsidRDefault="00000000">
            <w:pPr>
              <w:spacing w:after="0" w:line="240" w:lineRule="auto"/>
              <w:ind w:left="540" w:firstLine="18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Неявка на МКР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>– 0 балів.</w:t>
            </w:r>
          </w:p>
        </w:tc>
      </w:tr>
    </w:tbl>
    <w:p w14:paraId="423BAAB4" w14:textId="77777777" w:rsidR="00EF15BB" w:rsidRDefault="00EF15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6108B58" w14:textId="77777777" w:rsidR="00EF15BB" w:rsidRPr="00255554" w:rsidRDefault="00000000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val="uk-UA"/>
        </w:rPr>
      </w:pPr>
      <w:r w:rsidRPr="00255554">
        <w:rPr>
          <w:rFonts w:ascii="Times New Roman" w:hAnsi="Times New Roman"/>
          <w:b/>
          <w:bCs/>
          <w:iCs/>
          <w:sz w:val="24"/>
          <w:szCs w:val="24"/>
          <w:lang w:val="uk-UA"/>
        </w:rPr>
        <w:t xml:space="preserve">Затверджено </w:t>
      </w:r>
      <w:r w:rsidRPr="00255554">
        <w:rPr>
          <w:rFonts w:ascii="Times New Roman" w:hAnsi="Times New Roman"/>
          <w:iCs/>
          <w:sz w:val="24"/>
          <w:szCs w:val="24"/>
          <w:lang w:val="uk-UA"/>
        </w:rPr>
        <w:t xml:space="preserve">на засіданні кафедри германської філології, протокол № </w:t>
      </w:r>
      <w:r w:rsidRPr="00255554">
        <w:rPr>
          <w:rFonts w:ascii="Times New Roman" w:hAnsi="Times New Roman"/>
          <w:iCs/>
          <w:sz w:val="24"/>
          <w:szCs w:val="24"/>
        </w:rPr>
        <w:t>16</w:t>
      </w:r>
      <w:r w:rsidRPr="00255554">
        <w:rPr>
          <w:rFonts w:ascii="Times New Roman" w:hAnsi="Times New Roman"/>
          <w:iCs/>
          <w:sz w:val="24"/>
          <w:szCs w:val="24"/>
          <w:lang w:val="uk-UA"/>
        </w:rPr>
        <w:t xml:space="preserve"> від «18» червня 2026 р.</w:t>
      </w:r>
    </w:p>
    <w:p w14:paraId="43BE5B2D" w14:textId="77777777" w:rsidR="00EF15BB" w:rsidRPr="00255554" w:rsidRDefault="00EF15BB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val="uk-UA"/>
        </w:rPr>
      </w:pPr>
    </w:p>
    <w:p w14:paraId="78BCADA1" w14:textId="23697EDB" w:rsidR="00EF15BB" w:rsidRPr="00255554" w:rsidRDefault="00000000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val="uk-UA"/>
        </w:rPr>
      </w:pPr>
      <w:r w:rsidRPr="00255554">
        <w:rPr>
          <w:rFonts w:ascii="Times New Roman" w:hAnsi="Times New Roman"/>
          <w:iCs/>
          <w:sz w:val="24"/>
          <w:szCs w:val="24"/>
          <w:lang w:val="uk-UA"/>
        </w:rPr>
        <w:t>Завідувач кафедри</w:t>
      </w:r>
      <w:r w:rsidR="00255554" w:rsidRPr="0025555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9D8A3E" wp14:editId="09CD57F9">
            <wp:extent cx="1495425" cy="5334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5554">
        <w:rPr>
          <w:rFonts w:ascii="Times New Roman" w:hAnsi="Times New Roman"/>
          <w:iCs/>
          <w:sz w:val="24"/>
          <w:szCs w:val="24"/>
          <w:lang w:val="uk-UA"/>
        </w:rPr>
        <w:t>Марія ШУТОВА</w:t>
      </w:r>
    </w:p>
    <w:p w14:paraId="795DE2FC" w14:textId="77777777" w:rsidR="00EF15BB" w:rsidRPr="00255554" w:rsidRDefault="00000000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val="uk-UA"/>
        </w:rPr>
      </w:pPr>
      <w:r w:rsidRPr="00255554">
        <w:rPr>
          <w:rFonts w:ascii="Times New Roman" w:hAnsi="Times New Roman"/>
          <w:iCs/>
          <w:sz w:val="24"/>
          <w:szCs w:val="24"/>
          <w:lang w:val="uk-UA"/>
        </w:rPr>
        <w:tab/>
      </w:r>
      <w:r w:rsidRPr="00255554">
        <w:rPr>
          <w:rFonts w:ascii="Times New Roman" w:hAnsi="Times New Roman"/>
          <w:iCs/>
          <w:sz w:val="24"/>
          <w:szCs w:val="24"/>
          <w:lang w:val="uk-UA"/>
        </w:rPr>
        <w:tab/>
      </w:r>
      <w:r w:rsidRPr="00255554">
        <w:rPr>
          <w:rFonts w:ascii="Times New Roman" w:hAnsi="Times New Roman"/>
          <w:iCs/>
          <w:sz w:val="24"/>
          <w:szCs w:val="24"/>
          <w:lang w:val="uk-UA"/>
        </w:rPr>
        <w:tab/>
        <w:t xml:space="preserve">   (ім’я, прізвище)</w:t>
      </w:r>
    </w:p>
    <w:p w14:paraId="21D9D429" w14:textId="77777777" w:rsidR="00EF15BB" w:rsidRDefault="00EF15BB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i/>
          <w:sz w:val="26"/>
          <w:szCs w:val="26"/>
          <w:lang w:val="uk-UA"/>
        </w:rPr>
      </w:pPr>
    </w:p>
    <w:p w14:paraId="7EE6A318" w14:textId="77777777" w:rsidR="00EF15BB" w:rsidRDefault="00EF15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sectPr w:rsidR="00EF15BB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1B946D" w14:textId="77777777" w:rsidR="00B15A70" w:rsidRDefault="00B15A70">
      <w:pPr>
        <w:spacing w:line="240" w:lineRule="auto"/>
      </w:pPr>
      <w:r>
        <w:separator/>
      </w:r>
    </w:p>
  </w:endnote>
  <w:endnote w:type="continuationSeparator" w:id="0">
    <w:p w14:paraId="45BCAB72" w14:textId="77777777" w:rsidR="00B15A70" w:rsidRDefault="00B15A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186412" w14:textId="77777777" w:rsidR="00B15A70" w:rsidRDefault="00B15A70">
      <w:pPr>
        <w:spacing w:after="0"/>
      </w:pPr>
      <w:r>
        <w:separator/>
      </w:r>
    </w:p>
  </w:footnote>
  <w:footnote w:type="continuationSeparator" w:id="0">
    <w:p w14:paraId="1ACC1A36" w14:textId="77777777" w:rsidR="00B15A70" w:rsidRDefault="00B15A7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247"/>
    <w:rsid w:val="00003304"/>
    <w:rsid w:val="0001146A"/>
    <w:rsid w:val="00013CCF"/>
    <w:rsid w:val="00013EF2"/>
    <w:rsid w:val="00016857"/>
    <w:rsid w:val="00020FC8"/>
    <w:rsid w:val="00043814"/>
    <w:rsid w:val="00050FD3"/>
    <w:rsid w:val="00062BFB"/>
    <w:rsid w:val="00067273"/>
    <w:rsid w:val="0009532F"/>
    <w:rsid w:val="00095BEC"/>
    <w:rsid w:val="000C0484"/>
    <w:rsid w:val="000C106C"/>
    <w:rsid w:val="000D524E"/>
    <w:rsid w:val="000E67CC"/>
    <w:rsid w:val="000E730E"/>
    <w:rsid w:val="00101BD6"/>
    <w:rsid w:val="00104C94"/>
    <w:rsid w:val="001121DE"/>
    <w:rsid w:val="0011240E"/>
    <w:rsid w:val="00121E20"/>
    <w:rsid w:val="00140515"/>
    <w:rsid w:val="0017203D"/>
    <w:rsid w:val="0017614E"/>
    <w:rsid w:val="00194500"/>
    <w:rsid w:val="001C25F7"/>
    <w:rsid w:val="001C646A"/>
    <w:rsid w:val="001F1096"/>
    <w:rsid w:val="001F7854"/>
    <w:rsid w:val="002020E3"/>
    <w:rsid w:val="00210F9F"/>
    <w:rsid w:val="0022239E"/>
    <w:rsid w:val="002453BA"/>
    <w:rsid w:val="00250348"/>
    <w:rsid w:val="00255554"/>
    <w:rsid w:val="00263D46"/>
    <w:rsid w:val="00283EE9"/>
    <w:rsid w:val="00286025"/>
    <w:rsid w:val="002A09F9"/>
    <w:rsid w:val="002B37D9"/>
    <w:rsid w:val="002B419B"/>
    <w:rsid w:val="002C6436"/>
    <w:rsid w:val="002E7B4E"/>
    <w:rsid w:val="002F60BF"/>
    <w:rsid w:val="00302EE1"/>
    <w:rsid w:val="003125A1"/>
    <w:rsid w:val="00315775"/>
    <w:rsid w:val="00334C2F"/>
    <w:rsid w:val="00337BBA"/>
    <w:rsid w:val="00353D9E"/>
    <w:rsid w:val="00371837"/>
    <w:rsid w:val="00381158"/>
    <w:rsid w:val="003944A5"/>
    <w:rsid w:val="003B3A7D"/>
    <w:rsid w:val="003C1F4E"/>
    <w:rsid w:val="003C3115"/>
    <w:rsid w:val="003C60BB"/>
    <w:rsid w:val="003E214C"/>
    <w:rsid w:val="003E386D"/>
    <w:rsid w:val="003E4B2B"/>
    <w:rsid w:val="003F5141"/>
    <w:rsid w:val="003F5AA8"/>
    <w:rsid w:val="00420522"/>
    <w:rsid w:val="004243F2"/>
    <w:rsid w:val="004401B8"/>
    <w:rsid w:val="00446C1D"/>
    <w:rsid w:val="004472B5"/>
    <w:rsid w:val="004778CB"/>
    <w:rsid w:val="00487507"/>
    <w:rsid w:val="004C233C"/>
    <w:rsid w:val="004D3849"/>
    <w:rsid w:val="0050162A"/>
    <w:rsid w:val="00544595"/>
    <w:rsid w:val="00560215"/>
    <w:rsid w:val="0057615F"/>
    <w:rsid w:val="005812FC"/>
    <w:rsid w:val="005842A2"/>
    <w:rsid w:val="005A1E16"/>
    <w:rsid w:val="005B6947"/>
    <w:rsid w:val="00612943"/>
    <w:rsid w:val="0066181C"/>
    <w:rsid w:val="00663439"/>
    <w:rsid w:val="0068034A"/>
    <w:rsid w:val="0069138E"/>
    <w:rsid w:val="006C1F7B"/>
    <w:rsid w:val="006C5DA5"/>
    <w:rsid w:val="006D0D47"/>
    <w:rsid w:val="006D343D"/>
    <w:rsid w:val="00712247"/>
    <w:rsid w:val="00734796"/>
    <w:rsid w:val="0074692C"/>
    <w:rsid w:val="0077006D"/>
    <w:rsid w:val="007760B2"/>
    <w:rsid w:val="00784CAB"/>
    <w:rsid w:val="00793B98"/>
    <w:rsid w:val="00796C1E"/>
    <w:rsid w:val="007B4DAE"/>
    <w:rsid w:val="007D30EC"/>
    <w:rsid w:val="007E030C"/>
    <w:rsid w:val="007E261C"/>
    <w:rsid w:val="007E4AD6"/>
    <w:rsid w:val="007F215A"/>
    <w:rsid w:val="00811138"/>
    <w:rsid w:val="00811500"/>
    <w:rsid w:val="00837AA9"/>
    <w:rsid w:val="00840645"/>
    <w:rsid w:val="0085681B"/>
    <w:rsid w:val="00873551"/>
    <w:rsid w:val="00881CA2"/>
    <w:rsid w:val="00894563"/>
    <w:rsid w:val="008D472F"/>
    <w:rsid w:val="008D6FD0"/>
    <w:rsid w:val="00902D29"/>
    <w:rsid w:val="00926AB6"/>
    <w:rsid w:val="00940149"/>
    <w:rsid w:val="009506A0"/>
    <w:rsid w:val="0095751D"/>
    <w:rsid w:val="00984CCB"/>
    <w:rsid w:val="00990146"/>
    <w:rsid w:val="0099705D"/>
    <w:rsid w:val="009B1280"/>
    <w:rsid w:val="009B5B29"/>
    <w:rsid w:val="009F33F1"/>
    <w:rsid w:val="009F6476"/>
    <w:rsid w:val="00A17C7D"/>
    <w:rsid w:val="00A23789"/>
    <w:rsid w:val="00A37E20"/>
    <w:rsid w:val="00AA3CF0"/>
    <w:rsid w:val="00AB0F21"/>
    <w:rsid w:val="00AC6349"/>
    <w:rsid w:val="00AC6F30"/>
    <w:rsid w:val="00AD5241"/>
    <w:rsid w:val="00B12433"/>
    <w:rsid w:val="00B15A70"/>
    <w:rsid w:val="00B23154"/>
    <w:rsid w:val="00B351B3"/>
    <w:rsid w:val="00B36219"/>
    <w:rsid w:val="00B565B4"/>
    <w:rsid w:val="00B57550"/>
    <w:rsid w:val="00B57E01"/>
    <w:rsid w:val="00B669BC"/>
    <w:rsid w:val="00B67B38"/>
    <w:rsid w:val="00B71819"/>
    <w:rsid w:val="00B96ADB"/>
    <w:rsid w:val="00BB1671"/>
    <w:rsid w:val="00BB4A5E"/>
    <w:rsid w:val="00BB50CD"/>
    <w:rsid w:val="00BC3698"/>
    <w:rsid w:val="00BE30DF"/>
    <w:rsid w:val="00C041AB"/>
    <w:rsid w:val="00C130A6"/>
    <w:rsid w:val="00C52014"/>
    <w:rsid w:val="00C57DCB"/>
    <w:rsid w:val="00C67749"/>
    <w:rsid w:val="00CA0BD4"/>
    <w:rsid w:val="00CE4A89"/>
    <w:rsid w:val="00D12538"/>
    <w:rsid w:val="00D30E55"/>
    <w:rsid w:val="00D4289E"/>
    <w:rsid w:val="00D5666A"/>
    <w:rsid w:val="00D678C4"/>
    <w:rsid w:val="00D923BB"/>
    <w:rsid w:val="00DA0259"/>
    <w:rsid w:val="00DB221A"/>
    <w:rsid w:val="00DC36A0"/>
    <w:rsid w:val="00DF1D39"/>
    <w:rsid w:val="00E12F06"/>
    <w:rsid w:val="00E1461F"/>
    <w:rsid w:val="00E26C1C"/>
    <w:rsid w:val="00E37B52"/>
    <w:rsid w:val="00E5687E"/>
    <w:rsid w:val="00E5704A"/>
    <w:rsid w:val="00EA14E9"/>
    <w:rsid w:val="00EF15BB"/>
    <w:rsid w:val="00EF374C"/>
    <w:rsid w:val="00F02246"/>
    <w:rsid w:val="00F147A0"/>
    <w:rsid w:val="00F21D5C"/>
    <w:rsid w:val="00F30295"/>
    <w:rsid w:val="00F32AC3"/>
    <w:rsid w:val="00F36DDB"/>
    <w:rsid w:val="00F5251D"/>
    <w:rsid w:val="00F71E4E"/>
    <w:rsid w:val="00F91CAB"/>
    <w:rsid w:val="00F97B13"/>
    <w:rsid w:val="00FD7CE7"/>
    <w:rsid w:val="00FE0020"/>
    <w:rsid w:val="43D16990"/>
    <w:rsid w:val="4D32672D"/>
    <w:rsid w:val="54E5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EBF74"/>
  <w15:docId w15:val="{ED31D3B0-6319-4395-BDF2-584C815BB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Pr>
      <w:sz w:val="20"/>
      <w:szCs w:val="20"/>
    </w:rPr>
  </w:style>
  <w:style w:type="character" w:styleId="a8">
    <w:name w:val="Hyperlink"/>
    <w:uiPriority w:val="99"/>
    <w:unhideWhenUsed/>
    <w:rPr>
      <w:color w:val="0000FF"/>
      <w:u w:val="single"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viiyi">
    <w:name w:val="viiyi"/>
    <w:basedOn w:val="a0"/>
  </w:style>
  <w:style w:type="character" w:customStyle="1" w:styleId="jlqj4b">
    <w:name w:val="jlqj4b"/>
    <w:basedOn w:val="a0"/>
  </w:style>
  <w:style w:type="character" w:customStyle="1" w:styleId="1">
    <w:name w:val="Незакрита згадка1"/>
    <w:uiPriority w:val="99"/>
    <w:semiHidden/>
    <w:unhideWhenUsed/>
    <w:rPr>
      <w:color w:val="605E5C"/>
      <w:shd w:val="clear" w:color="auto" w:fill="E1DFDD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7">
    <w:name w:val="Текст сноски Знак"/>
    <w:link w:val="a6"/>
    <w:uiPriority w:val="99"/>
    <w:semiHidden/>
    <w:rPr>
      <w:lang w:val="ru-RU" w:eastAsia="en-US"/>
    </w:rPr>
  </w:style>
  <w:style w:type="paragraph" w:customStyle="1" w:styleId="10">
    <w:name w:val="Абзац списка1"/>
    <w:basedOn w:val="a"/>
    <w:qFormat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val="en-US"/>
    </w:rPr>
  </w:style>
  <w:style w:type="character" w:customStyle="1" w:styleId="ab">
    <w:name w:val="Основной текст Знак"/>
    <w:uiPriority w:val="99"/>
    <w:locked/>
    <w:rPr>
      <w:color w:val="000000"/>
      <w:sz w:val="26"/>
      <w:lang w:val="uk-UA" w:eastAsia="uk-UA"/>
    </w:rPr>
  </w:style>
  <w:style w:type="character" w:customStyle="1" w:styleId="ac">
    <w:name w:val="Основной текст + Полужирный"/>
    <w:uiPriority w:val="99"/>
    <w:rPr>
      <w:rFonts w:ascii="Times New Roman" w:hAnsi="Times New Roman"/>
      <w:b/>
      <w:color w:val="000000"/>
      <w:sz w:val="26"/>
      <w:u w:val="none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A6D7B21091F3A4A85104C5DED49BBAA" ma:contentTypeVersion="4" ma:contentTypeDescription="Создание документа." ma:contentTypeScope="" ma:versionID="d0bf61cb6dfd66689d945f7ebb002341">
  <xsd:schema xmlns:xsd="http://www.w3.org/2001/XMLSchema" xmlns:xs="http://www.w3.org/2001/XMLSchema" xmlns:p="http://schemas.microsoft.com/office/2006/metadata/properties" xmlns:ns2="9b550540-d93d-444c-9ed5-c91900ea736a" targetNamespace="http://schemas.microsoft.com/office/2006/metadata/properties" ma:root="true" ma:fieldsID="6c30a948c4c7cb009b5eb0ba04b79ba9" ns2:_="">
    <xsd:import namespace="9b550540-d93d-444c-9ed5-c91900ea73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50540-d93d-444c-9ed5-c91900ea73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2F700C-AE58-46F8-9578-6C27E57DBD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40A447-78B5-4F58-BE2F-78D66A62A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550540-d93d-444c-9ed5-c91900ea73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BD2244-0983-49F8-B167-835ADACAAC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A27929-6013-4CBD-8122-D185FFBD2E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1667</Words>
  <Characters>9505</Characters>
  <Application>Microsoft Office Word</Application>
  <DocSecurity>0</DocSecurity>
  <Lines>79</Lines>
  <Paragraphs>22</Paragraphs>
  <ScaleCrop>false</ScaleCrop>
  <Company>Warez</Company>
  <LinksUpToDate>false</LinksUpToDate>
  <CharactersWithSpaces>11150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Марія Олександрівна Шутова</cp:lastModifiedBy>
  <cp:revision>32</cp:revision>
  <dcterms:created xsi:type="dcterms:W3CDTF">2025-05-27T17:48:00Z</dcterms:created>
  <dcterms:modified xsi:type="dcterms:W3CDTF">2026-10-05T07:41:00Z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94EF45B7F1564A23A51E374FB6F513B9_13</vt:lpwstr>
  </property>
</Properties>
</file>