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493"/>
        <w:gridCol w:w="7"/>
      </w:tblGrid>
      <w:tr w:rsidR="00271010" w:rsidRPr="00C30629" w:rsidTr="00684418">
        <w:tc>
          <w:tcPr>
            <w:tcW w:w="11018" w:type="dxa"/>
            <w:gridSpan w:val="3"/>
            <w:shd w:val="clear" w:color="auto" w:fill="A6A6A6"/>
          </w:tcPr>
          <w:p w:rsidR="00271010" w:rsidRPr="00DC7802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5D38B3" w:rsidRPr="005D38B3" w:rsidRDefault="00271010" w:rsidP="005D38B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C7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Фразеологічні одиниці в німецькій мові: </w:t>
            </w:r>
            <w:proofErr w:type="spellStart"/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перекладознавчий</w:t>
            </w:r>
            <w:proofErr w:type="spellEnd"/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аспект</w:t>
            </w:r>
          </w:p>
          <w:p w:rsidR="00271010" w:rsidRPr="00F827D1" w:rsidRDefault="00271010" w:rsidP="00C306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E45A7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:rsidR="00271010" w:rsidRPr="00FC1ACF" w:rsidRDefault="00DC7802" w:rsidP="00DC780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 Гуманітарні науки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035 Філологія</w:t>
            </w:r>
          </w:p>
        </w:tc>
      </w:tr>
      <w:tr w:rsidR="00271010" w:rsidRPr="007A366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E45A7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E45A7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 програма</w:t>
            </w:r>
          </w:p>
        </w:tc>
        <w:tc>
          <w:tcPr>
            <w:tcW w:w="8500" w:type="dxa"/>
            <w:gridSpan w:val="2"/>
          </w:tcPr>
          <w:p w:rsidR="00FC1ACF" w:rsidRPr="00FC1ACF" w:rsidRDefault="00FC1ACF" w:rsidP="00FC1ACF">
            <w:pPr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друга іноземна мова</w:t>
            </w:r>
            <w:r w:rsidR="007A3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: усний і письмовий </w:t>
            </w: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переклад</w:t>
            </w:r>
            <w:r w:rsidR="007A3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у бізнес-комунікації</w:t>
            </w:r>
          </w:p>
          <w:p w:rsidR="00271010" w:rsidRPr="00FC1ACF" w:rsidRDefault="00271010" w:rsidP="00FC1ACF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Вибіркова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Українська</w:t>
            </w:r>
            <w:r w:rsidR="00DC7802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, німецька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E45A7C">
              <w:rPr>
                <w:rFonts w:ascii="Times New Roman" w:hAnsi="Times New Roman" w:cs="Times New Roman"/>
                <w:b/>
                <w:color w:val="auto"/>
                <w:lang w:val="uk-UA"/>
              </w:rPr>
              <w:t>ІІІ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7A366F" w:rsidTr="00C30629">
        <w:trPr>
          <w:trHeight w:val="548"/>
        </w:trPr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E95890" w:rsidRDefault="0066107A" w:rsidP="0066107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Дубровська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Ірина Борисівна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Pr="00E95890">
              <w:rPr>
                <w:rFonts w:ascii="Times New Roman" w:hAnsi="Times New Roman"/>
                <w:lang w:val="uk-UA"/>
              </w:rPr>
              <w:t>кандидат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 філологічних наук, </w:t>
            </w:r>
            <w:r w:rsidR="00B11FCE" w:rsidRPr="00E95890">
              <w:rPr>
                <w:rFonts w:ascii="Times New Roman" w:hAnsi="Times New Roman"/>
                <w:lang w:val="uk-UA"/>
              </w:rPr>
              <w:t>доцент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="00B11FCE" w:rsidRPr="00E95890">
              <w:rPr>
                <w:rFonts w:ascii="Times New Roman" w:hAnsi="Times New Roman"/>
                <w:lang w:val="uk-UA"/>
              </w:rPr>
              <w:t xml:space="preserve">кафедри германської і фіно-угорської філології імені професора Г. Г. </w:t>
            </w:r>
            <w:proofErr w:type="spellStart"/>
            <w:r w:rsidR="00B11FCE" w:rsidRPr="00E95890">
              <w:rPr>
                <w:rFonts w:ascii="Times New Roman" w:hAnsi="Times New Roman"/>
                <w:lang w:val="uk-UA"/>
              </w:rPr>
              <w:t>Почепцова</w:t>
            </w:r>
            <w:proofErr w:type="spellEnd"/>
          </w:p>
        </w:tc>
      </w:tr>
      <w:tr w:rsidR="00271010" w:rsidRPr="007A366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5D38B3" w:rsidRPr="005D38B3" w:rsidRDefault="0066107A" w:rsidP="005D38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1010"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исципліна «</w:t>
            </w:r>
            <w:r w:rsidR="005D38B3" w:rsidRPr="005D38B3">
              <w:rPr>
                <w:sz w:val="24"/>
                <w:szCs w:val="24"/>
                <w:lang w:val="uk-UA"/>
              </w:rPr>
              <w:t xml:space="preserve"> </w:t>
            </w:r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Фразеологічні одиниці в німецькій мові: </w:t>
            </w:r>
            <w:proofErr w:type="spellStart"/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аспект</w:t>
            </w:r>
            <w:r w:rsidR="00271010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B11FCE" w:rsidRPr="005D38B3">
              <w:rPr>
                <w:sz w:val="24"/>
                <w:szCs w:val="24"/>
                <w:lang w:val="uk-UA"/>
              </w:rPr>
              <w:t xml:space="preserve"> 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належить до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вибіркових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 професійної підготовки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D38B3" w:rsidRPr="005D38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даному спецкурсі розглядаються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лексичні проблеми усного та письмового перекладу, </w:t>
            </w:r>
            <w:r w:rsidR="005D38B3" w:rsidRPr="005D38B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формуються</w:t>
            </w:r>
            <w:r w:rsidR="005D38B3" w:rsidRPr="005D38B3">
              <w:rPr>
                <w:rFonts w:ascii="Times New Roman" w:hAnsi="Times New Roman"/>
                <w:bCs/>
                <w:caps/>
                <w:sz w:val="24"/>
                <w:szCs w:val="24"/>
                <w:lang w:val="uk-UA" w:eastAsia="ru-RU"/>
              </w:rPr>
              <w:t xml:space="preserve">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базові знання з теорії і практики усного та письмового паралельного перекладу з другої іноземної  (німецької) та української мов, враховуючи </w:t>
            </w:r>
            <w:r w:rsidR="005D38B3" w:rsidRPr="005D38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лексичні, а також синтаксичні, композиційні, морфологічні особливості усного та письмового дискурсу.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навчальної дисципліни розкривається в трьох змістових модулях, у яких закладається теоретико-методологічна база паралельного перекладу та термінологічний апарат, здійснюється </w:t>
            </w:r>
            <w:r w:rsidR="005D38B3" w:rsidRPr="005D38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когнітивний підхід до перекладу текстів усного та письмового дискурсу, аналізуються перекладацькі стратегії, що застосовуються у процесі трансформації текстів усного та письмового дискурсу.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Важливе місце в курсі відводиться вивченню типологічних особливостей двомовного перекладу, оволодінню сучасними інформаційними технологіями та спеціальною апаратурою для виконання усного та письмового перекладу, набуттю практичних навичок у професійній діяльності викладача іноземної мови та перекладача.</w:t>
            </w:r>
          </w:p>
          <w:p w:rsidR="005D38B3" w:rsidRPr="005D38B3" w:rsidRDefault="005D38B3" w:rsidP="005D38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вивчення спецкурсу поглиблюються наукові уявлення про завдання, об’єкт, предмет лексикологічної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наукових дисциплін; визначаються дефініції головних понять теорії та практики усного і письмового перекладу, а також лексикології та фразеології;  пропонується виконання практичних завдань з двомовного перекладу.</w:t>
            </w:r>
          </w:p>
          <w:p w:rsidR="00740B5F" w:rsidRPr="003C784F" w:rsidRDefault="00740B5F" w:rsidP="002C62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7A366F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740B5F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="00271010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740B5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A366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7A366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B11FCE" w:rsidRPr="00C30629" w:rsidRDefault="00B11FCE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30629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A9438E" w:rsidRPr="00C30629">
              <w:rPr>
                <w:rFonts w:ascii="Times New Roman" w:hAnsi="Times New Roman"/>
                <w:lang w:val="uk-UA"/>
              </w:rPr>
              <w:t>студенти</w:t>
            </w:r>
            <w:r w:rsidRPr="00C30629">
              <w:rPr>
                <w:rFonts w:ascii="Times New Roman" w:hAnsi="Times New Roman"/>
                <w:lang w:val="uk-UA"/>
              </w:rPr>
              <w:t xml:space="preserve"> повинні володіти знаннями в галузях: “</w:t>
            </w:r>
            <w:r w:rsidR="000F71F4" w:rsidRPr="00C30629">
              <w:rPr>
                <w:rFonts w:ascii="Times New Roman" w:hAnsi="Times New Roman"/>
                <w:lang w:val="uk-UA"/>
              </w:rPr>
              <w:t>Німецька мова як друга іноземна</w:t>
            </w:r>
            <w:r w:rsidRPr="00C30629">
              <w:rPr>
                <w:rFonts w:ascii="Times New Roman" w:hAnsi="Times New Roman"/>
                <w:lang w:val="uk-UA"/>
              </w:rPr>
              <w:t xml:space="preserve">”,  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“Загальне </w:t>
            </w:r>
            <w:r w:rsidRPr="00C30629">
              <w:rPr>
                <w:rFonts w:ascii="Times New Roman" w:hAnsi="Times New Roman"/>
                <w:lang w:val="uk-UA"/>
              </w:rPr>
              <w:t>мовознавство”, Знання та навички, отримані в результаті вивчення цих курсів, створюють необхідну базу для вивчення курсу “</w:t>
            </w:r>
            <w:r w:rsidR="000F71F4" w:rsidRPr="00C30629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 </w:t>
            </w:r>
            <w:r w:rsidRPr="00C30629">
              <w:rPr>
                <w:rFonts w:ascii="Times New Roman" w:hAnsi="Times New Roman"/>
                <w:lang w:val="uk-UA"/>
              </w:rPr>
              <w:t>мають високий ступінь кореляції з ними.</w:t>
            </w:r>
          </w:p>
          <w:p w:rsidR="005D38B3" w:rsidRPr="005D38B3" w:rsidRDefault="005D38B3" w:rsidP="005D38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Передумовами є</w:t>
            </w:r>
            <w:r w:rsidRPr="005D38B3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успішне опанування курсів </w:t>
            </w:r>
            <w:r w:rsidRPr="005D38B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із практики другої іноземної мови (німецької) рівня В1-В2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, основних теоретичних мовознавчих дисциплін, зіставної лексикології та фразеології німецької та української мов, лінгвокраїнознавства, практичної граматики другої іноземної мови, практичної стилістики української мови для перекладачів;</w:t>
            </w:r>
            <w:r w:rsidRPr="005D38B3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знання теоретичних основ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дисциплін, серед яких: вступ до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, теорія і практика усного та письмового перекладу з першої та другої іноземної мови.</w:t>
            </w:r>
          </w:p>
          <w:p w:rsidR="005D38B3" w:rsidRPr="005D38B3" w:rsidRDefault="005D38B3" w:rsidP="005D38B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Студенти повинні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5D38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міти: у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досконалювати і розвивати свій інтелектуальний рівень; використовувати фундаментальні знання з філології в сфері професійної діяльності; володіти методологією філологічних досліджень; досягати функціонально-стилістичної адекватності перекладеного тексту, забезпечувати його смислову й комунікативну цілісність; редагувати перекладені тексти згідно з нормами мови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перекладу;організувати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професійну діяльність і самовдосконалення в галузі перекладу.</w:t>
            </w:r>
          </w:p>
          <w:p w:rsidR="005D38B3" w:rsidRPr="005D38B3" w:rsidRDefault="005D38B3" w:rsidP="005D38B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</w:p>
          <w:p w:rsidR="00271010" w:rsidRPr="00C30629" w:rsidRDefault="00271010" w:rsidP="000F71F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7A366F" w:rsidTr="00684418">
        <w:tc>
          <w:tcPr>
            <w:tcW w:w="251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Метою вивчення навчальної дисципліни «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Фразеологічні одиниці в німецькій мові: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</w:t>
            </w:r>
            <w:r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першому (бакалаврському) рівні вищої освіти є підготовка спеціалістів, які володіють навичками професійного усного та письмового перекладу з німецької та української мов. Мета спецкурсу досягається шляхом вивчення теоретичного матеріалу з  лексикології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фразеографії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сучасної німецької мови та виконання практичних завдань усного та письмового перекладу лексичних та фразеологічних одиниць та текстів різних типів дискурсу з німецької мови на українську та з української мови на німецьку</w:t>
            </w:r>
            <w:r w:rsidRPr="005D38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71010" w:rsidRPr="00C30629" w:rsidRDefault="00271010" w:rsidP="001E2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7A366F" w:rsidTr="00684418">
        <w:tc>
          <w:tcPr>
            <w:tcW w:w="1101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1E229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E2290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7A366F" w:rsidTr="00684418">
        <w:tc>
          <w:tcPr>
            <w:tcW w:w="11018" w:type="dxa"/>
            <w:gridSpan w:val="3"/>
          </w:tcPr>
          <w:p w:rsidR="00FC1ACF" w:rsidRDefault="00FC1ACF" w:rsidP="00FC1A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5D38B3" w:rsidRPr="005D38B3" w:rsidRDefault="005D38B3" w:rsidP="005D38B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</w:t>
            </w:r>
            <w:r w:rsidR="007A36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бізнес-</w:t>
            </w:r>
            <w:proofErr w:type="spellStart"/>
            <w:r w:rsidR="007A36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комуніації</w:t>
            </w:r>
            <w:proofErr w:type="spellEnd"/>
            <w:r w:rsidRPr="005D38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D38B3" w:rsidRPr="005D38B3" w:rsidRDefault="005D38B3" w:rsidP="005D3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ЗАГАЛЬНІ КОМПЕТЕНТНОСТІ (ЗК)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5.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учитися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оволодівати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сучасними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6.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пошуку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9.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спілкуватися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10.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абстрактного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синтезу.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11.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 15.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дотримуватись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принципів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академічної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доброчесності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творчий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пошук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 16.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іальну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значущість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майбутньої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професії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прогнозувати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ФАХОВІ КОМПЕТЕНТНОСТІ (ФК)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ФК 2.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професійній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особливу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систему,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природу,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ФК 6.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гнучко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вивчається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усній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письмовій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жанрово-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стильових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різновидах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регістрах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офіційному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неофіційному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нейтральному), для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комунікативних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сферах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ФК 8.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оперувати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іальною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термінологією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15.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методологічного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організаційного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правового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ідґрунтя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необхідного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фахової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науково-дослідницької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презентації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спільноті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значущості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практичної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філософії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комунікативного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16.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науково-лінгвістичного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природу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лінгвістичних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явищ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процесів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орієнтуватися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лінгвістичній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верифікації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концепцій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й компетентно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брати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участь в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формах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конференціях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круглих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столах,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дискусіях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публікаціях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філології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17.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вирішувати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 опорою на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психологічних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закономірностей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функціонування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міжособистісної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фізіологічні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психічні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організму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занять.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71010" w:rsidRPr="00B705C0" w:rsidRDefault="00271010" w:rsidP="00FC1A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1101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FC1ACF" w:rsidRPr="007A366F" w:rsidTr="00483F62">
        <w:tc>
          <w:tcPr>
            <w:tcW w:w="11018" w:type="dxa"/>
            <w:gridSpan w:val="3"/>
            <w:vAlign w:val="center"/>
          </w:tcPr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5D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фахівцями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нефахівцями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державною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5D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необхідну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критично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впорядковувати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3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свого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самоосвіти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6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іалізованих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і проблем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7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ідходи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доцільних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підходів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10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Знати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12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зумовлюють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16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Знати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17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і проблем 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сферах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66F" w:rsidRDefault="005D38B3" w:rsidP="005D38B3">
            <w:pPr>
              <w:pStyle w:val="Default"/>
              <w:widowControl w:val="0"/>
              <w:jc w:val="both"/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lang w:val="ru-RU"/>
              </w:rPr>
              <w:t>ПРН 21</w:t>
            </w:r>
            <w:r w:rsidRPr="005D38B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A366F" w:rsidRPr="007A366F">
              <w:rPr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Здійснювати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науковий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аналіз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мовного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матеріалу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інтерпретувати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та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структурувати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його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з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урахуванням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класичних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і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новітніх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методологічних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принципів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формулювати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узагальнення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у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процесі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практичної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діяльності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виконуючи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переклади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українською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мовою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р</w:t>
            </w:r>
            <w:proofErr w:type="gram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ізножанрових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текстів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зокрема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текстів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офіційно-ділового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дискурсу,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цифрових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медіа-текстів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текстів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міжнародного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гуманітарного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права) з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англійської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мови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та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другої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іноземної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мови</w:t>
            </w:r>
            <w:proofErr w:type="spellEnd"/>
            <w:r w:rsidR="007A366F" w:rsidRPr="007A366F">
              <w:rPr>
                <w:rFonts w:ascii="Times New Roman" w:eastAsia="PMingLiU" w:hAnsi="Times New Roman" w:cs="Times New Roman"/>
                <w:i/>
                <w:color w:val="auto"/>
                <w:lang w:val="ru-RU"/>
              </w:rPr>
              <w:t>.</w:t>
            </w:r>
          </w:p>
          <w:p w:rsidR="00FC1ACF" w:rsidRPr="002059BB" w:rsidRDefault="00FC1ACF" w:rsidP="005D38B3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FC1ACF" w:rsidRPr="007A366F" w:rsidTr="00684418"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Історичний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інгвістичний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словникового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Шляхи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збагачення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лексики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Запозичення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запозичених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слі</w:t>
            </w:r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Полісемія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омонімія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аспекті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двостороннього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Словотві</w:t>
            </w:r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один з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найбільш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продуктивних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шляхів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збагачення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словникового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значень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слі</w:t>
            </w:r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шляхів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якісного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збагачення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словникового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складу.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Неологізми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архаїзми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Проблематика перекладу.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Лексикографічний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німецьких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фразеологізмі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назв</w:t>
            </w:r>
            <w:proofErr w:type="spellEnd"/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німецькій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українській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мовах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скорочень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диференціація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перекладі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Безеквівалентна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лексика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реалії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трансформації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Причини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трансформацій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трансформацій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відношень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цілковите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падіння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часткове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співпадіння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цілковита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розбіжність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Перекладацькі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відповідники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еквіваленти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варіанти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контекстуальні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замінники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прикладі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Прагматично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зумовлені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трансформації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німецько-українському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художньому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перекладі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7.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фразеологізмів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Парадигматичні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відношення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фразеології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 Лексико-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семантичні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фразеологічні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паралелі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Переклад  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фразеологічних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одиниць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Фразеологічні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перекладі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формальної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еквівалентності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Пареміологічні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Національне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забарвлення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оригіналу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перекладу, проблема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відповідностей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розбіжностей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між</w:t>
            </w:r>
            <w:proofErr w:type="spellEnd"/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ними. 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пареміологічних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10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текст.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Лексична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когезія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 Тема-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рематичні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зв’язки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Переклад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ізного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жанру.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11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науково-технічного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Лексичні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науково-технічного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перекладу.</w:t>
            </w:r>
          </w:p>
          <w:p w:rsidR="005D38B3" w:rsidRPr="007A366F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12.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науково-технічного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дискурсу. </w:t>
            </w:r>
          </w:p>
          <w:p w:rsidR="00E45A7C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13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офіційно-ділового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стилю. </w:t>
            </w:r>
          </w:p>
          <w:p w:rsidR="005D38B3" w:rsidRPr="007A366F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14.</w:t>
            </w:r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Термінологічний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апарат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офіційно-ділового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офіційно-ділового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дискурсу.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конструкцій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офіційного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листування</w:t>
            </w:r>
            <w:proofErr w:type="spellEnd"/>
            <w:r w:rsidRPr="007A36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C1ACF" w:rsidRPr="00E45A7C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15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Переклад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медійного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C1ACF"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C1ACF" w:rsidRPr="00E45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End"/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6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Pr="00F827D1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1ACF" w:rsidRPr="00F827D1" w:rsidTr="00684418">
        <w:tc>
          <w:tcPr>
            <w:tcW w:w="11018" w:type="dxa"/>
            <w:gridSpan w:val="3"/>
            <w:shd w:val="clear" w:color="auto" w:fill="99CCFF"/>
          </w:tcPr>
          <w:p w:rsidR="00FC1ACF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5D38B3" w:rsidTr="00684418">
        <w:tc>
          <w:tcPr>
            <w:tcW w:w="11018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Програмні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результати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Форми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</w:p>
              </w:tc>
            </w:tr>
            <w:tr w:rsidR="00E45A7C" w:rsidRPr="007A366F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>ПРН 1. Вільно спілкуватися із професійних питань із фахівцями та нефахівцями державною та іноземною(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>ими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 xml:space="preserve">) мовами усно й письмово, використовувати їх для організації ефективної міжкультурної комунікації.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Загальнонаукові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аналіз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синтез,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абстрагування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узагальнення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Загальнонаукові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аналіз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синтез,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абстрагування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узагальнення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 xml:space="preserve"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ru-RU"/>
                    </w:rPr>
                    <w:t>Технологія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особистісно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орієнтованого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навчання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інтерактивного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комунікативного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) і проблемного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 xml:space="preserve">ПРН 3.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Організовувати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процес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свого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навчання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самоосвіти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6.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Використовувати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інформаційні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й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комунікаційні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технології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для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вирішення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складних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іалізованих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задач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проблем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професійної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7.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Розуміти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основні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проблеми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філології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та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ідходи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до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розв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>’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язання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із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застосуванням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доцільних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методів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та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інноваційних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підходів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10. Знати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норми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літературної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вмі</w:t>
                  </w:r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практичній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12.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Аналізувати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одиниці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визначати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їхню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взаємодію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та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характеризувати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явища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процеси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що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зумовлюють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16.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Знати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й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розуміти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основні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поняття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теорії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та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концепції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обраної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філологічної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іалізації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уміти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застосовувати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у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професійній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17.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Збирати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аналізувати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>систематизувати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й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інтерпретувати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факти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й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мовлення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й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використовувати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для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розв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>’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язання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складних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задач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проблем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у</w:t>
                  </w:r>
                  <w:proofErr w:type="gram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спеціалізованих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сферах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професійної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та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>/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навчання</w:t>
                  </w:r>
                  <w:proofErr w:type="spellEnd"/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7A366F" w:rsidTr="00EC13A2">
              <w:tc>
                <w:tcPr>
                  <w:tcW w:w="3377" w:type="dxa"/>
                </w:tcPr>
                <w:p w:rsidR="00E45A7C" w:rsidRPr="007A366F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>ПРН</w:t>
                  </w:r>
                  <w:r w:rsidRPr="007A366F">
                    <w:rPr>
                      <w:rFonts w:ascii="Times New Roman" w:hAnsi="Times New Roman"/>
                      <w:color w:val="000000"/>
                      <w:szCs w:val="24"/>
                      <w:lang w:eastAsia="ru-RU"/>
                    </w:rPr>
                    <w:t xml:space="preserve"> 21</w:t>
                  </w:r>
                  <w:r w:rsidR="007A366F"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Здійснювати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науковий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аналіз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мовного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матеріалу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інтерпретувати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та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структурувати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його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урахуванням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класичних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новітніх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методологічних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принципів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формулювати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узагальнення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у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процесі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практичної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виконуючи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переклади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українською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мовою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р</w:t>
                  </w:r>
                  <w:proofErr w:type="gram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ізножанрових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текстів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зокрема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текстів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офіційно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>-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ділового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дискурсу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цифрових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медіа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>-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текстів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текстів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міжнародного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гуманітарного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права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)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англ</w:t>
                  </w:r>
                  <w:proofErr w:type="gram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ійської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та</w:t>
                  </w:r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другої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іноземної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="007A366F" w:rsidRPr="007A366F">
                    <w:rPr>
                      <w:rFonts w:ascii="Times New Roman" w:hAnsi="Times New Roman"/>
                      <w:i/>
                      <w:color w:val="00000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Підсумковий контроль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A366F" w:rsidRPr="00E45A7C" w:rsidRDefault="007A366F" w:rsidP="007A366F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  <w:p w:rsidR="007A366F" w:rsidRPr="00E45A7C" w:rsidRDefault="007A366F" w:rsidP="007A366F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45A7C" w:rsidRPr="00E45A7C" w:rsidRDefault="007A366F" w:rsidP="007A366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</w:tbl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FC1ACF" w:rsidRPr="007A366F" w:rsidTr="00684418">
        <w:tc>
          <w:tcPr>
            <w:tcW w:w="11018" w:type="dxa"/>
            <w:gridSpan w:val="3"/>
          </w:tcPr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  <w:r w:rsidRPr="00F827D1">
              <w:rPr>
                <w:rStyle w:val="aa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9"/>
                <w:rFonts w:ascii="Times New Roman" w:hAnsi="Times New Roman"/>
                <w:sz w:val="24"/>
                <w:szCs w:val="28"/>
              </w:rPr>
              <w:t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із зазначеної теми (у тому числі самостійно опрацьованого матеріалу) під час роботи на семінарських заняттях.</w:t>
            </w:r>
          </w:p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Система оцінювання результатів навчання аспірантів</w:t>
            </w: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 дисципліни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29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32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9943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</w:tblGrid>
            <w:tr w:rsidR="00FC1ACF" w:rsidRPr="007A366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lang w:val="uk-UA"/>
                    </w:rPr>
                    <w:t>студента</w:t>
                  </w:r>
                </w:p>
              </w:tc>
              <w:tc>
                <w:tcPr>
                  <w:tcW w:w="33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(Теми)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К</w:t>
                  </w:r>
                  <w:r w:rsidRPr="00E507E0">
                    <w:rPr>
                      <w:rFonts w:ascii="Times New Roman" w:hAnsi="Times New Roman"/>
                      <w:lang w:val="uk-UA"/>
                    </w:rPr>
                    <w:t>онтрольна робота</w:t>
                  </w:r>
                </w:p>
              </w:tc>
            </w:tr>
            <w:tr w:rsidR="00FC1ACF" w:rsidRPr="007A366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73348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Лексико-граматичний аналіз текст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C1ACF" w:rsidRPr="007A366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60</w:t>
                  </w:r>
                </w:p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контрольної роботи з дисципліни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95890">
              <w:rPr>
                <w:rFonts w:ascii="Times New Roman" w:hAnsi="Times New Roman"/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FC1ACF" w:rsidRPr="00E507E0" w:rsidRDefault="00FC1ACF" w:rsidP="00FC1ACF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онтрольна робота включає 2 завдання, з яких кожне оцінюється за наступними </w:t>
            </w: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критеріями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Відповідь на кожне завдання модульної контрольної роботи оцінюється за 25-бальною шкалою. 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23-25 балів виставляються за вичерпну, змістовну, логічну та послідовну за викладом відповідь, що містить самостійні судження та демонструє здатність творчого розв’язання завдання.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18-22 бали виставляються за умови, що відповідь правильна, повна, змістовна, послідовна, але містить незначні помилки у викладі теоретичного матеріалу і практичного розв’язання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15-17 балів виставляються за умови, що відповідь неповна, схематична, є неточності і помилки в розкритті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14 балів і менше виставляється за умови відсутності вичерпаної відповіді на питання, наявності значної кількості неточностей і фактологічних помилок, що свідчить про поверховість знань аспіранта.</w:t>
            </w:r>
          </w:p>
          <w:p w:rsidR="00FC1ACF" w:rsidRPr="00E507E0" w:rsidRDefault="00FC1ACF" w:rsidP="00FC1ACF">
            <w:pPr>
              <w:tabs>
                <w:tab w:val="left" w:pos="567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Виконане завдання має включати такі складники: обґрунтування актуальності, викладення змісту, висновки.</w:t>
            </w:r>
          </w:p>
          <w:p w:rsidR="00FC1ACF" w:rsidRPr="00E507E0" w:rsidRDefault="00FC1ACF" w:rsidP="00FC1ACF">
            <w:pPr>
              <w:tabs>
                <w:tab w:val="left" w:pos="720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кількість балів за виконану 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 становить 50.</w:t>
            </w: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a"/>
                <w:b w:val="0"/>
                <w:bCs/>
                <w:i/>
                <w:sz w:val="24"/>
              </w:rPr>
            </w:pP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rStyle w:val="aa"/>
                <w:b w:val="0"/>
                <w:bCs/>
                <w:i/>
                <w:sz w:val="24"/>
              </w:rPr>
              <w:t>Підсумковий (семестровий) контроль</w:t>
            </w:r>
            <w:r w:rsidRPr="00E507E0">
              <w:rPr>
                <w:rStyle w:val="aa"/>
                <w:bCs/>
                <w:i/>
                <w:sz w:val="24"/>
              </w:rPr>
              <w:t xml:space="preserve"> </w:t>
            </w:r>
            <w:r w:rsidRPr="00E507E0">
              <w:rPr>
                <w:rStyle w:val="a9"/>
                <w:sz w:val="24"/>
              </w:rPr>
              <w:t>проводиться з метою оцінювання результатів навчання аспірантів на завершальному етапі вивчення дисципліни.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2"/>
              <w:gridCol w:w="2968"/>
              <w:gridCol w:w="3501"/>
              <w:gridCol w:w="2439"/>
            </w:tblGrid>
            <w:tr w:rsidR="00FC1ACF" w:rsidRPr="00F827D1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Види навчальної діяльності аспіранта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FC1ACF" w:rsidRPr="007A366F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Передбачений підсумковий контроль 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студента.</w:t>
                  </w: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2. Контрольна робота (</w:t>
                  </w: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КР)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7A366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FC1ACF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FC1ACF" w:rsidRPr="00F827D1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827D1">
              <w:rPr>
                <w:lang w:val="uk-UA"/>
              </w:rPr>
              <w:t>Семестровий контроль з навчальної дисципліни «</w:t>
            </w:r>
            <w:r w:rsidRPr="00E95890">
              <w:rPr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lang w:val="uk-UA"/>
              </w:rPr>
              <w:t xml:space="preserve"> </w:t>
            </w:r>
            <w:r w:rsidRPr="00F827D1">
              <w:rPr>
                <w:lang w:val="uk-UA"/>
              </w:rPr>
              <w:t xml:space="preserve">проводиться у формі </w:t>
            </w:r>
            <w:r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FC1ACF" w:rsidRPr="00F827D1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На заліку екзаменатор виставляє семестровий рейтинговий бал, оцінку за залі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 “зараховано / не зараховано”.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FC1ACF" w:rsidRPr="00AC46DC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1ACF" w:rsidRPr="007A366F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AC46DC" w:rsidRDefault="00FC1ACF" w:rsidP="00FC1ACF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FC1ACF" w:rsidRPr="00AC46DC" w:rsidRDefault="00FC1ACF" w:rsidP="00FC1AC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освіти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здобуття освіти 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германської філології і </w:t>
            </w:r>
            <w:r w:rsidRPr="00AC46DC">
              <w:rPr>
                <w:szCs w:val="28"/>
                <w:lang w:val="uk-UA"/>
              </w:rPr>
              <w:t>доводить до відома</w:t>
            </w:r>
            <w:r>
              <w:rPr>
                <w:szCs w:val="28"/>
                <w:lang w:val="uk-UA"/>
              </w:rPr>
              <w:t xml:space="preserve"> 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FC1ACF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Основні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 П.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Термінологія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переклад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філологічного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напряму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 уклад.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П.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Возненко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Радецька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2010. 232 с. 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Гінка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Б.І.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Лексикологія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Лекції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семінари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Навчальний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/ 3-тє вид.,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переробл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і доп.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Тернопіль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Навчальна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книга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–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Богдан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, 2010. 416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ЗМІ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[уклад. М. М.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Капуш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.]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КНЕУ, 2008. 234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практикум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спеціальностей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 уклад.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М.М.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О.О.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Капуш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КНЕУ, 2014. 214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Корунець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 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перекладу 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448 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c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Левицький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В.В.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Лексикологія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Нова книга, 2014. 392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Мироненко Т. С.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перекладу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факультету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Вид. центр КНЛУ, 2013. 172 с. 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Мироненко Т. С.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 перекладу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 КНЛУ, 2017. 247 с. 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Міщенко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до курсу ТПП.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Вид-во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200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Паславська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А. Практикум з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перекладацького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(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Methodologische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Ansätze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der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übersetzungsrelevanten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Textanalyse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Вид.центр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КНЛУ, 2013. 151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перекладу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ентр  КНЛУ, 2018. 272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і практика перекладу (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мова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) 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ідр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студ. ВНЗ / [уклад.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Кияк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Т.Р., 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Огуй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О.Д., Науменко А.М.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2006. 592 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c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Kautz Ulrich. Das Handbuch Didaktik des Übersetzens und Dolmetschens. M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ü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nchen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Iudicium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2002. 640 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Koller Werner. Einführung in die Übersetzungswissenschaft.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Wiebelsheim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Quelle &amp; Meyer Verlag, 2004. 343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Kußmaul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Paul. Kreatives Übersetzen. Tübingen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Stauffenburg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2000. 215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Kühn I. Lexikologie. Eine Einführung. Tübingen : Max Niemeyer Verlag, 1994. 178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Nord Chr. Einführung in das funktionale Übersetzen. Tübingen : Francke Verlag, 1993. 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315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Oguy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O. D. Lexikologie der deutschen Sprache.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Winnyts’a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Nowa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knyha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, 2003. 416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Reiß, Katharina. Grundfragen der Übersetzungswissenschaft. Wien, </w:t>
            </w:r>
            <w:r w:rsidRPr="00E45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WUV-Universitätsverlag,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  <w:r w:rsidRPr="00E45A7C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de-DE"/>
              </w:rPr>
              <w:t>1995</w:t>
            </w:r>
            <w:r w:rsidRPr="00E45A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E45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132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Schippan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Th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. Lexikologie der deutschen Gegenwartssprache. Tübingen : Max Niemeyer Verlag 1996. 306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3"/>
                <w:szCs w:val="23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Stolze R. Die Fachübersetzung. Eine Einführung. – Tübingen: Gunter Narr Verlag, 1999. – S. 249. – </w:t>
            </w:r>
          </w:p>
          <w:p w:rsidR="00E45A7C" w:rsidRPr="00E45A7C" w:rsidRDefault="00E45A7C" w:rsidP="00E45A7C">
            <w:pPr>
              <w:spacing w:after="200" w:line="276" w:lineRule="auto"/>
              <w:ind w:left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11. </w:t>
            </w: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Довідкові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ресурси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13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Словник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>Академічний</w:t>
            </w:r>
            <w:proofErr w:type="spellEnd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>тлумачний</w:t>
            </w:r>
            <w:proofErr w:type="spellEnd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словник. 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URL: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45A7C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sum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in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13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Українські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словники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довідники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URL: </w:t>
            </w:r>
            <w:hyperlink r:id="rId7" w:history="1">
              <w:r w:rsidRPr="00E45A7C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slovopedia</w:t>
              </w:r>
              <w:proofErr w:type="spellEnd"/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org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Agricola E. Wörter und Wendungen. Wörterbuch zum deutschen Sprachgebrauch. Leipzig, Bibliographisches Institut, 1977. 818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Havris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’ W,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Proroczenko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O. Deutsch-Ukrainisches Phraseologisches Wörterbuch. Kiew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Radjanska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Schkola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, 1985. 382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Gabler Wirtschaftslexikon [online]: https://wirtschaftslexikon.gabler.de/ 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Eurostat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: Glossar Wirtschaft und Finanzen [online]: https://ec.europa.eu/eurostat/statistics-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 xml:space="preserve">explained/index.php?title=Category:Economy_and_finance_glossary/de&amp;oldid=9712DUDEN 5. 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Fremdwörterbuch. Mannheim : Duden-Verlag, 2005. 1104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DUDEN 8: Sinn- und Sachverwandte Wörter.  Mannheim : Duden-Verlag, 1985. 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DUDEN 10: Bedeutungswörterbuch. Wortbildung und Wortschatz. Mannheim : Duden-Verlag, 2002. 1104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DUDEN 11: Redewendungen. Mannheim : Duden-Verlag, 2002. 960 S.</w:t>
            </w:r>
          </w:p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C1ACF" w:rsidRPr="000D5B5C" w:rsidRDefault="00FC1ACF" w:rsidP="00E45A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11011" w:type="dxa"/>
            <w:gridSpan w:val="2"/>
            <w:shd w:val="clear" w:color="auto" w:fill="99CCFF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F9550A" w:rsidRDefault="00FC1ACF" w:rsidP="00FC1ACF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C1ACF" w:rsidRPr="00B705C0" w:rsidTr="00684418">
        <w:tc>
          <w:tcPr>
            <w:tcW w:w="11018" w:type="dxa"/>
            <w:gridSpan w:val="3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BCE"/>
    <w:multiLevelType w:val="hybridMultilevel"/>
    <w:tmpl w:val="5F54B64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E6137"/>
    <w:multiLevelType w:val="hybridMultilevel"/>
    <w:tmpl w:val="9758BAE8"/>
    <w:lvl w:ilvl="0" w:tplc="921A7280">
      <w:start w:val="3"/>
      <w:numFmt w:val="bullet"/>
      <w:lvlText w:val="-"/>
      <w:lvlJc w:val="left"/>
      <w:pPr>
        <w:ind w:left="1080" w:hanging="360"/>
      </w:pPr>
      <w:rPr>
        <w:rFonts w:ascii="TimesNewRomanPSMT" w:eastAsia="MS Mincho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A41E7"/>
    <w:multiLevelType w:val="multilevel"/>
    <w:tmpl w:val="E43A3C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2"/>
      </w:rPr>
    </w:lvl>
  </w:abstractNum>
  <w:abstractNum w:abstractNumId="8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14B11"/>
    <w:multiLevelType w:val="hybridMultilevel"/>
    <w:tmpl w:val="188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3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C0332D9"/>
    <w:multiLevelType w:val="hybridMultilevel"/>
    <w:tmpl w:val="DA9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83EF5"/>
    <w:multiLevelType w:val="multilevel"/>
    <w:tmpl w:val="230CF522"/>
    <w:lvl w:ilvl="0">
      <w:start w:val="2"/>
      <w:numFmt w:val="decimal"/>
      <w:lvlText w:val="%1."/>
      <w:lvlJc w:val="left"/>
      <w:pPr>
        <w:ind w:left="62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8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66" w:hanging="1800"/>
      </w:pPr>
      <w:rPr>
        <w:rFonts w:ascii="Times New Roman" w:hAnsi="Times New Roman" w:hint="default"/>
        <w:b/>
        <w:sz w:val="22"/>
      </w:rPr>
    </w:lvl>
  </w:abstractNum>
  <w:abstractNum w:abstractNumId="16">
    <w:nsid w:val="74095965"/>
    <w:multiLevelType w:val="hybridMultilevel"/>
    <w:tmpl w:val="157CB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5259E"/>
    <w:rsid w:val="000D5B5C"/>
    <w:rsid w:val="000F71F4"/>
    <w:rsid w:val="00106229"/>
    <w:rsid w:val="00117B7B"/>
    <w:rsid w:val="001342A4"/>
    <w:rsid w:val="00141C3C"/>
    <w:rsid w:val="00143161"/>
    <w:rsid w:val="00146A3B"/>
    <w:rsid w:val="00164157"/>
    <w:rsid w:val="001844BD"/>
    <w:rsid w:val="001A1611"/>
    <w:rsid w:val="001E2290"/>
    <w:rsid w:val="002224E3"/>
    <w:rsid w:val="002346D0"/>
    <w:rsid w:val="0025656D"/>
    <w:rsid w:val="00256D8E"/>
    <w:rsid w:val="002624AB"/>
    <w:rsid w:val="00271010"/>
    <w:rsid w:val="002C624F"/>
    <w:rsid w:val="00304FC1"/>
    <w:rsid w:val="00381334"/>
    <w:rsid w:val="003B23C8"/>
    <w:rsid w:val="003B7DC7"/>
    <w:rsid w:val="003C784F"/>
    <w:rsid w:val="003D5992"/>
    <w:rsid w:val="00421ED0"/>
    <w:rsid w:val="00471F27"/>
    <w:rsid w:val="00484D6C"/>
    <w:rsid w:val="005D38B3"/>
    <w:rsid w:val="005D51EA"/>
    <w:rsid w:val="005F3F4F"/>
    <w:rsid w:val="006016D3"/>
    <w:rsid w:val="00626FDC"/>
    <w:rsid w:val="00640BA0"/>
    <w:rsid w:val="0066107A"/>
    <w:rsid w:val="00684418"/>
    <w:rsid w:val="006A4A82"/>
    <w:rsid w:val="006A6C8F"/>
    <w:rsid w:val="006D3856"/>
    <w:rsid w:val="006F0D1B"/>
    <w:rsid w:val="00733482"/>
    <w:rsid w:val="00740B5F"/>
    <w:rsid w:val="00782D5B"/>
    <w:rsid w:val="00784013"/>
    <w:rsid w:val="007A366F"/>
    <w:rsid w:val="007B3AED"/>
    <w:rsid w:val="007C2E42"/>
    <w:rsid w:val="007E435F"/>
    <w:rsid w:val="007F1272"/>
    <w:rsid w:val="008023DC"/>
    <w:rsid w:val="00812432"/>
    <w:rsid w:val="00821FD2"/>
    <w:rsid w:val="00822D11"/>
    <w:rsid w:val="008B2BD6"/>
    <w:rsid w:val="00935A34"/>
    <w:rsid w:val="009851C2"/>
    <w:rsid w:val="009B79E8"/>
    <w:rsid w:val="009D5200"/>
    <w:rsid w:val="00A75807"/>
    <w:rsid w:val="00A9438E"/>
    <w:rsid w:val="00AC46DC"/>
    <w:rsid w:val="00B06F7F"/>
    <w:rsid w:val="00B11FCE"/>
    <w:rsid w:val="00B259C6"/>
    <w:rsid w:val="00B55813"/>
    <w:rsid w:val="00B705C0"/>
    <w:rsid w:val="00BC485A"/>
    <w:rsid w:val="00C167E8"/>
    <w:rsid w:val="00C30629"/>
    <w:rsid w:val="00C804E0"/>
    <w:rsid w:val="00C9186E"/>
    <w:rsid w:val="00CA02F4"/>
    <w:rsid w:val="00CB3170"/>
    <w:rsid w:val="00CD04DC"/>
    <w:rsid w:val="00D568DB"/>
    <w:rsid w:val="00DB2090"/>
    <w:rsid w:val="00DC7802"/>
    <w:rsid w:val="00DD78DD"/>
    <w:rsid w:val="00E32B7E"/>
    <w:rsid w:val="00E45A7C"/>
    <w:rsid w:val="00E507E0"/>
    <w:rsid w:val="00E95890"/>
    <w:rsid w:val="00EC37C7"/>
    <w:rsid w:val="00F13B69"/>
    <w:rsid w:val="00F4301F"/>
    <w:rsid w:val="00F436E1"/>
    <w:rsid w:val="00F628A8"/>
    <w:rsid w:val="00F827D1"/>
    <w:rsid w:val="00F82E3D"/>
    <w:rsid w:val="00F87582"/>
    <w:rsid w:val="00F9550A"/>
    <w:rsid w:val="00FA1F23"/>
    <w:rsid w:val="00FC1ACF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opedi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2023-11-07T10:31:00Z</dcterms:created>
  <dcterms:modified xsi:type="dcterms:W3CDTF">2023-11-07T10:31:00Z</dcterms:modified>
</cp:coreProperties>
</file>