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7E7B5A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7E7B5A" w:rsidRDefault="00271010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Міжкультурна комунікація: </w:t>
            </w:r>
            <w:proofErr w:type="spellStart"/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перекладознавчий</w:t>
            </w:r>
            <w:proofErr w:type="spellEnd"/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аспект</w:t>
            </w:r>
          </w:p>
          <w:p w:rsidR="00271010" w:rsidRPr="00F827D1" w:rsidRDefault="007E7B5A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(німецька й українська мови)</w:t>
            </w:r>
            <w:r w:rsidR="00271010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Default="0025201B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івень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вищої</w:t>
            </w:r>
          </w:p>
          <w:p w:rsidR="0025201B" w:rsidRPr="00F827D1" w:rsidRDefault="0025201B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освіти</w:t>
            </w:r>
          </w:p>
        </w:tc>
        <w:tc>
          <w:tcPr>
            <w:tcW w:w="8500" w:type="dxa"/>
            <w:gridSpan w:val="2"/>
          </w:tcPr>
          <w:p w:rsidR="00271010" w:rsidRPr="00F827D1" w:rsidRDefault="00AA3DE4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E21BD6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</w:t>
            </w:r>
            <w:r w:rsidR="0025201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я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E21BD6" w:rsidTr="00037B43">
              <w:tc>
                <w:tcPr>
                  <w:tcW w:w="7263" w:type="dxa"/>
                  <w:shd w:val="clear" w:color="auto" w:fill="auto"/>
                </w:tcPr>
                <w:p w:rsidR="00F1690E" w:rsidRPr="00C11915" w:rsidRDefault="001348B9" w:rsidP="00E21BD6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1348B9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Американські студії (англійська мова і друга іноземна мова)</w:t>
                  </w:r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752AE">
              <w:rPr>
                <w:rFonts w:ascii="Times New Roman" w:hAnsi="Times New Roman" w:cs="Times New Roman"/>
                <w:b/>
                <w:color w:val="auto"/>
                <w:lang w:val="uk-UA"/>
              </w:rPr>
              <w:t>І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E21BD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E7B5A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Бондарен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Ельвір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Сидорі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вна,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E21BD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1E3D24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належить до переліку 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вибіркових навчальних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 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студентів-магістрантів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Вона 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 студентів </w:t>
            </w:r>
            <w:r w:rsidR="004C179D"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міжкультур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 мовної компетентності для виконання професійних зав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дань у 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перекладацькій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 науковій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діяльності.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1E3D2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bookmarkStart w:id="0" w:name="_GoBack"/>
            <w:bookmarkEnd w:id="0"/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поняття теорії міжкультурної комунікації, 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комунікативно адекватн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текст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перекладу з урахуванням специфіки міжкультурної ситуації, норм спілкування представників різних культур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E21BD6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E1D7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E1D7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E1D7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940E3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E1D7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0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E21BD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="00940E3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E21BD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940E34" w:rsidRPr="001C46B6" w:rsidRDefault="00AB64CF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Передумовами вивчення навчальної дисципліни «</w:t>
            </w:r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успішне опанування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лексичними одиницями, граматичними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явища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структурами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які вивчаються на рівн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ях володіння німецькою мовою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відповідно до Загальноєвропейських рекомендацій з мовної освіти;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теорії і практики </w:t>
            </w:r>
            <w:r w:rsidR="00F24C7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усного та письмового 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перекладу англійської 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німецької мов.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читати фахові тексти;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аналізувати і узагальнювати інформацію, отриману з фахових текстів німецькою та українською мовами;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порівнювати мовні явища української, англійської та німецької мов;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застосовувати набуті знання з теорії і 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практики перекладу англійської,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німецької мов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курсі, який вивчається.</w:t>
            </w:r>
          </w:p>
          <w:p w:rsidR="00271010" w:rsidRPr="00C11915" w:rsidRDefault="00271010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E21BD6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271010" w:rsidRPr="003C784F" w:rsidRDefault="00AB64CF" w:rsidP="00CD06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B64C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Мета курсу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D54243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0D3B9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оволодіння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студентами 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професійно орієнтовано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міжкультурно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комунікативно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компетентн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задля ефективного спілкування в 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lastRenderedPageBreak/>
              <w:t xml:space="preserve">німецькомовному середовищі та здійснення усного і письмового перекладу. </w:t>
            </w:r>
            <w:r w:rsidR="00E620E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E620E6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54243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лексичні</w:t>
            </w:r>
            <w:r w:rsidR="00D542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граматичні, прагматичні</w:t>
            </w:r>
            <w:r w:rsidR="00D54243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особливості </w:t>
            </w:r>
            <w:r w:rsidR="00D5424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міжкультурної комунікації німецькою й українською </w:t>
            </w:r>
            <w:r w:rsidR="00D54243" w:rsidRPr="00D3389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мовами</w:t>
            </w:r>
            <w:r w:rsidR="00E620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="00E620E6"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вміти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визначати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граматичні структури і явища в німецькій і українській мовах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порівнювати та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систематизувати особливості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їх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вживання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обох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мов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ах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перекладати тексти з німецької мови на українську</w:t>
            </w:r>
            <w:r w:rsidR="00CD06C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 української на німецьку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урахуванням знань з теорії міжкультурної комунікації, обирати ефективні стратегії для міжкультурно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 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спілкування німецькою</w:t>
            </w:r>
            <w:r w:rsidR="00CD06C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мовою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E620E6"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олодіти навичками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ання сучасних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ційн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технологі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лізу та узагальненн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інформації,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отриманих знань і набутих умінь в інших галузях для ефектив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ного опанування німецької мови, автономного навчання,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професійного спілкування.</w:t>
            </w:r>
          </w:p>
        </w:tc>
      </w:tr>
      <w:tr w:rsidR="00271010" w:rsidRPr="00E21BD6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94547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454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магістрант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E21BD6" w:rsidTr="00E507E0"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CB035E" w:rsidRDefault="00E620E6" w:rsidP="00CB035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35E">
              <w:rPr>
                <w:rFonts w:ascii="Times New Roman" w:hAnsi="Times New Roman" w:cs="Times New Roman"/>
                <w:lang w:val="uk-UA"/>
              </w:rPr>
              <w:t xml:space="preserve">Здатність розв’язувати складні завдання і проблеми в галузі лінгвістики та перекладу в процесі професійної діяльності або навчання, що передбачає проведення досліджень та/або здійснення інноваційної діяльності з використанням комплексу міждисциплінарних даних і характеризується невизначеністю умов і вимог. </w:t>
            </w:r>
          </w:p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E64906" w:rsidRPr="00BB6F1E" w:rsidRDefault="00E64906" w:rsidP="00E6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1. Здатність спілкуватися державною мовою як усно, так і письмово. </w:t>
            </w:r>
          </w:p>
          <w:p w:rsidR="00E64906" w:rsidRDefault="00E64906" w:rsidP="00E64906">
            <w:pPr>
              <w:pStyle w:val="TableParagraph"/>
              <w:ind w:left="4" w:right="106"/>
              <w:rPr>
                <w:sz w:val="26"/>
              </w:rPr>
            </w:pPr>
            <w:r w:rsidRPr="00BB6F1E">
              <w:rPr>
                <w:sz w:val="24"/>
                <w:szCs w:val="24"/>
              </w:rPr>
              <w:t>ЗК 2. Здатність бути критичним і самокритичним, володіти навичками критичного мислення.</w:t>
            </w:r>
            <w:r w:rsidRPr="007F6DF9">
              <w:rPr>
                <w:sz w:val="26"/>
              </w:rPr>
              <w:t xml:space="preserve"> </w:t>
            </w:r>
          </w:p>
          <w:p w:rsidR="00E64906" w:rsidRPr="00BB6F1E" w:rsidRDefault="00E64906" w:rsidP="00E64906">
            <w:pPr>
              <w:pStyle w:val="TableParagraph"/>
              <w:ind w:left="4" w:right="106"/>
              <w:rPr>
                <w:sz w:val="24"/>
                <w:szCs w:val="24"/>
              </w:rPr>
            </w:pPr>
            <w:r w:rsidRPr="00265AA4">
              <w:rPr>
                <w:sz w:val="24"/>
                <w:szCs w:val="24"/>
              </w:rPr>
              <w:t xml:space="preserve">ЗК 3. Здатність до пошуку, опрацювання та аналізу інформації з  різних джерел.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4. Уміння виявляти, ставити та вирішувати проблеми.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працювати в команді й автономно, мотивувати людей і рухатися до спільної мети.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6. Здатність спілкуватися іноземною (англійською та другою іноземною) мовою як усно, так і письмово.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7. Здатність до абстрактного мислення, аналізу і синтезу.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9. Здатність діяти соціально відповідально та свідомо, здатність до адаптації та дії в новій ситуації.</w:t>
            </w:r>
          </w:p>
          <w:p w:rsidR="00E64906" w:rsidRPr="00265AA4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10. Здатність спілкуватися з представниками інших професійних груп різного рівня </w:t>
            </w:r>
            <w:r w:rsidRPr="00265AA4">
              <w:rPr>
                <w:rFonts w:ascii="Times New Roman" w:hAnsi="Times New Roman"/>
                <w:sz w:val="24"/>
                <w:szCs w:val="24"/>
                <w:lang w:val="uk-UA"/>
              </w:rPr>
              <w:t>(з експертами з інших галузей  знань / видів економічної діяльності).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11. Здатність проведення досліджень на належному рівні.</w:t>
            </w:r>
          </w:p>
          <w:p w:rsidR="00E620E6" w:rsidRDefault="00E64906" w:rsidP="00E6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12. Здатність генерувати нові ідеї (креативність).</w:t>
            </w:r>
          </w:p>
          <w:p w:rsidR="009642D8" w:rsidRPr="009642D8" w:rsidRDefault="009642D8" w:rsidP="0096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2D8">
              <w:rPr>
                <w:rFonts w:ascii="Times New Roman" w:hAnsi="Times New Roman"/>
                <w:sz w:val="24"/>
                <w:szCs w:val="24"/>
                <w:lang w:val="uk-UA"/>
              </w:rPr>
              <w:t>ЗК 13. Здатність розуміти сутність і соціальну значущість майбутньої професії, прогнозувати</w:t>
            </w:r>
          </w:p>
          <w:p w:rsidR="009642D8" w:rsidRPr="009642D8" w:rsidRDefault="009642D8" w:rsidP="0096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перспективи розвитку сфери професійної діяльності.  </w:t>
            </w:r>
          </w:p>
          <w:p w:rsidR="009642D8" w:rsidRPr="009642D8" w:rsidRDefault="009642D8" w:rsidP="0096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2D8">
              <w:rPr>
                <w:rFonts w:ascii="Times New Roman" w:hAnsi="Times New Roman"/>
                <w:sz w:val="24"/>
                <w:szCs w:val="24"/>
                <w:lang w:val="uk-UA"/>
              </w:rPr>
              <w:t>ЗК 14. Здатність розуміння і дотримання міжособистісних, міжкультурних, соціальних і професійно-етичних норм спілкування з іншими</w:t>
            </w:r>
            <w:r w:rsidRPr="009642D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людьми у соціально-побутових і виробничих умовах.</w:t>
            </w:r>
          </w:p>
          <w:p w:rsidR="009642D8" w:rsidRPr="009642D8" w:rsidRDefault="009642D8" w:rsidP="0096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15. Уміння вести наукові й професійні дискусії,аргументовано й коректно переконувати інших учасників групових процесів, демонструвати широкий спектр пізнавальних, лінгвістичних і інтелектуальних </w:t>
            </w:r>
            <w:proofErr w:type="spellStart"/>
            <w:r w:rsidRPr="009642D8">
              <w:rPr>
                <w:rFonts w:ascii="Times New Roman" w:hAnsi="Times New Roman"/>
                <w:sz w:val="24"/>
                <w:szCs w:val="24"/>
                <w:lang w:val="uk-UA"/>
              </w:rPr>
              <w:t>навичодля</w:t>
            </w:r>
            <w:proofErr w:type="spellEnd"/>
            <w:r w:rsidRPr="00964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перекладу.</w:t>
            </w:r>
          </w:p>
          <w:p w:rsidR="00E64906" w:rsidRDefault="00E64906" w:rsidP="00E64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1. Здатність вільно орієнтуватися в різних лінгвістичних напрямах і школах.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2. Здатність осмислювати літературу як </w:t>
            </w:r>
            <w:proofErr w:type="spellStart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полісистему</w:t>
            </w:r>
            <w:proofErr w:type="spellEnd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, розуміти еволюційний шлях розвитку вітчизняного і світового літературознавства.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3. Здатність критично осмислювати історичні надбання та новітні досягнення філологічної науки.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4. Здатність здійснювати науковий аналіз і структурування мовного/мовленнєвого й літературного матеріалу з урахуванням класичних і новітніх методологічних принципів.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5. Усвідомлення методологічного, організаційного та правового підґрунтя, необхідного для досліджень та/або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6. Здатність застосовувати поглиблені знання з обраної філологічної спеціалізації для вирішення професійних завдань.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ФК 7. Здатність вільно користуватися спеціальною термінологією в обраній галузі філологічних досліджень.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8. Усвідомлення ролі експресивних, емоційних, логічних засобів мови для досягнення запланованого прагматичного результату й організації успішної комунікації в усній і писемній формах англійською мовою на рівні С 2 і другою іноземною мовою на рівні С 1; володіння теоретичними основами використання англійської мови, включаючи її функціональні особливості, у процесі здійснення основних видів перекладу всіх жанрово-стильових різновидів художніх текстів.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9. Здатність вільно орієнтуватися в літературних напрямах США.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10. Здатність вільно орієнтуватися у культурних та історичних періодах розвитку США.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11. Усвідомлення ідеологічних та мовних особливостей літератури США.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12. Здатність виконувати типові професійні завдання, пов’язані із забезпеченням усної та письмової комунікації та інформації шляхом перекладу різноманітних за змістом і жанром художніх текстів англійською і державною мовами.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ФК 13. Володіти прийомами забезпечення якості художнього перекладу (вичитування, критичне оцінювання, редагування, зворотний переклад).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14. Здатність передавати текст оригіналу за допомогою різного виду стилістичних </w:t>
            </w:r>
            <w:proofErr w:type="spellStart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адаптацій</w:t>
            </w:r>
            <w:proofErr w:type="spellEnd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мові перекладу і прагматичних стратегій, які орієнтовані на читача тексту перекладу згідно з нормами мови перекладу й критеріями адекватного перекладу</w:t>
            </w:r>
          </w:p>
          <w:p w:rsidR="00A51323" w:rsidRPr="00A51323" w:rsidRDefault="00A51323" w:rsidP="00A5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15. Володіння навичками науково-пошукової роботи в лінгвістиці і </w:t>
            </w:r>
            <w:proofErr w:type="spellStart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перекладознавстві</w:t>
            </w:r>
            <w:proofErr w:type="spellEnd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методами пошуку, аналізу й обробки мовних даних; здатність використовувати системні знання мови оригіналу й мови перекладу, системні знання сучасного мовознавства і </w:t>
            </w:r>
            <w:proofErr w:type="spellStart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A51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самостійному науковому дослідженні і всебічно застосовувати їх у написанні випускної кваліфікаційної роботи.</w:t>
            </w:r>
          </w:p>
          <w:p w:rsidR="00271010" w:rsidRPr="00B705C0" w:rsidRDefault="00E620E6" w:rsidP="00E64906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E21BD6" w:rsidTr="00E507E0">
        <w:tc>
          <w:tcPr>
            <w:tcW w:w="10768" w:type="dxa"/>
            <w:gridSpan w:val="3"/>
          </w:tcPr>
          <w:p w:rsidR="00493AD0" w:rsidRDefault="00493AD0" w:rsidP="00493AD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Знати і розуміти </w:t>
            </w:r>
            <w:r w:rsidRPr="003D3801">
              <w:rPr>
                <w:sz w:val="24"/>
                <w:szCs w:val="24"/>
              </w:rPr>
              <w:t>базові поняття і категорії теорії міжкультурної комунікації (моделі, функції і класифікації культур та основні види, функції і м</w:t>
            </w:r>
            <w:r>
              <w:rPr>
                <w:sz w:val="24"/>
                <w:szCs w:val="24"/>
              </w:rPr>
              <w:t>оделі міжкультурної комунікації</w:t>
            </w:r>
            <w:r w:rsidRPr="003D38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93AD0" w:rsidRDefault="00493AD0" w:rsidP="00493AD0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 xml:space="preserve"> Знати і розуміти </w:t>
            </w:r>
            <w:r w:rsidRPr="003D3801">
              <w:rPr>
                <w:sz w:val="24"/>
                <w:szCs w:val="24"/>
                <w:lang w:eastAsia="ru-RU"/>
              </w:rPr>
              <w:t>особливості мовних карт</w:t>
            </w:r>
            <w:r>
              <w:rPr>
                <w:sz w:val="24"/>
                <w:szCs w:val="24"/>
                <w:lang w:eastAsia="ru-RU"/>
              </w:rPr>
              <w:t>ин світу</w:t>
            </w:r>
            <w:r w:rsidRPr="003D3801">
              <w:rPr>
                <w:sz w:val="24"/>
                <w:szCs w:val="24"/>
                <w:lang w:eastAsia="ru-RU"/>
              </w:rPr>
              <w:t xml:space="preserve"> німецькомовних і українсь</w:t>
            </w:r>
            <w:r>
              <w:rPr>
                <w:sz w:val="24"/>
                <w:szCs w:val="24"/>
                <w:lang w:eastAsia="ru-RU"/>
              </w:rPr>
              <w:t>кого етносів</w:t>
            </w:r>
            <w:r w:rsidRPr="003D3801">
              <w:rPr>
                <w:sz w:val="24"/>
                <w:szCs w:val="24"/>
                <w:lang w:eastAsia="ru-RU"/>
              </w:rPr>
              <w:t>, зумовлених кореляці</w:t>
            </w:r>
            <w:r>
              <w:rPr>
                <w:sz w:val="24"/>
                <w:szCs w:val="24"/>
                <w:lang w:eastAsia="ru-RU"/>
              </w:rPr>
              <w:t xml:space="preserve">ями між культурою і лексикою / </w:t>
            </w:r>
            <w:r w:rsidRPr="003D3801">
              <w:rPr>
                <w:sz w:val="24"/>
                <w:szCs w:val="24"/>
                <w:lang w:eastAsia="ru-RU"/>
              </w:rPr>
              <w:t>граматикою</w:t>
            </w:r>
            <w:r>
              <w:rPr>
                <w:sz w:val="24"/>
                <w:szCs w:val="24"/>
                <w:lang w:eastAsia="ru-RU"/>
              </w:rPr>
              <w:t xml:space="preserve"> / мовленнєвими актами / </w:t>
            </w:r>
            <w:r w:rsidRPr="003D3801">
              <w:rPr>
                <w:sz w:val="24"/>
                <w:szCs w:val="24"/>
                <w:lang w:eastAsia="ru-RU"/>
              </w:rPr>
              <w:t>дискурсом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493AD0" w:rsidRDefault="00D36B0D" w:rsidP="00493AD0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93AD0">
              <w:rPr>
                <w:sz w:val="24"/>
                <w:szCs w:val="24"/>
                <w:lang w:eastAsia="ru-RU"/>
              </w:rPr>
              <w:t xml:space="preserve">. </w:t>
            </w:r>
            <w:r w:rsidRPr="00816270">
              <w:rPr>
                <w:sz w:val="24"/>
                <w:szCs w:val="24"/>
                <w:lang w:eastAsia="ru-RU"/>
              </w:rPr>
              <w:t xml:space="preserve"> Уміти розпізнавати фактори, що призводять до виникнення міжкультурних непорозумінь та конфліктів, аналізувати їх та попереджати в своїй майбутній професійній діяльності; нейтралізувати дію «</w:t>
            </w:r>
            <w:proofErr w:type="spellStart"/>
            <w:r w:rsidRPr="00816270">
              <w:rPr>
                <w:sz w:val="24"/>
                <w:szCs w:val="24"/>
                <w:lang w:eastAsia="ru-RU"/>
              </w:rPr>
              <w:t>етноцентричних</w:t>
            </w:r>
            <w:proofErr w:type="spellEnd"/>
            <w:r w:rsidRPr="00816270">
              <w:rPr>
                <w:sz w:val="24"/>
                <w:szCs w:val="24"/>
                <w:lang w:eastAsia="ru-RU"/>
              </w:rPr>
              <w:t xml:space="preserve"> культурних фільтрів» та стереотипів і упереджень представників різних культур та оволодівати прийомами і методами розвитку соціокультурної спостережливості  та сенсибілізації до фактів чужої культури.</w:t>
            </w:r>
          </w:p>
          <w:p w:rsidR="00D36B0D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816270">
              <w:rPr>
                <w:sz w:val="24"/>
                <w:szCs w:val="24"/>
                <w:lang w:eastAsia="ru-RU"/>
              </w:rPr>
              <w:t>Уміти створювати комунікативно адекватні тексти перекладу з урахуванням специфіки міжкультурної ситуації, культурно-мовних особливостей і норм спілкування представників різних культур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16270">
              <w:rPr>
                <w:sz w:val="24"/>
                <w:szCs w:val="24"/>
                <w:lang w:eastAsia="ru-RU"/>
              </w:rPr>
              <w:t xml:space="preserve"> </w:t>
            </w:r>
          </w:p>
          <w:p w:rsidR="00D36B0D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В</w:t>
            </w:r>
            <w:r w:rsidRPr="00816270">
              <w:rPr>
                <w:sz w:val="24"/>
                <w:szCs w:val="24"/>
                <w:lang w:eastAsia="ru-RU"/>
              </w:rPr>
              <w:t>икористовувати на практиці різноманітні методи, прийоми та сучасні технології для формування власної іншомовної міжкультурної компетентності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36B0D" w:rsidRPr="00493AD0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Pr="00816270">
              <w:rPr>
                <w:sz w:val="24"/>
                <w:szCs w:val="24"/>
                <w:lang w:eastAsia="ru-RU"/>
              </w:rPr>
              <w:t xml:space="preserve"> Демонструвати навички аргументованого представлення власної думки, компетентної та толерантної дискусії з опонентами.</w:t>
            </w:r>
          </w:p>
        </w:tc>
      </w:tr>
      <w:tr w:rsidR="00271010" w:rsidRPr="00E21BD6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E21BD6" w:rsidTr="00B705C0">
              <w:tc>
                <w:tcPr>
                  <w:tcW w:w="599" w:type="dxa"/>
                </w:tcPr>
                <w:p w:rsidR="00271010" w:rsidRPr="00B424D8" w:rsidRDefault="00271010" w:rsidP="00E21BD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470C2D" w:rsidRDefault="0074127C" w:rsidP="00E21BD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470C2D">
                    <w:rPr>
                      <w:rStyle w:val="a4"/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1A74A6"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Міжкультурна комунікація як вид спілкування, як наука і міждисциплінарний фах. Предмет і завдання теорії міжкультурної комунікації.</w:t>
                  </w:r>
                </w:p>
                <w:p w:rsidR="001A74A6" w:rsidRPr="00470C2D" w:rsidRDefault="001301A2" w:rsidP="00E21BD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2. Міжкультурне спілкування (МКС): структура, функції, моделі.</w:t>
                  </w:r>
                </w:p>
                <w:p w:rsidR="001301A2" w:rsidRPr="00470C2D" w:rsidRDefault="006E6D8A" w:rsidP="00E21BD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3. Поняття культури. Основні функції, моделі і класифікації культур.</w:t>
                  </w:r>
                </w:p>
                <w:p w:rsidR="00271010" w:rsidRPr="00470C2D" w:rsidRDefault="00131E14" w:rsidP="00E21BD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470C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E6D8A" w:rsidRPr="00470C2D" w:rsidRDefault="000050FA" w:rsidP="00E21BD6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 w:rsidRPr="00470C2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6E6D8A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Культура і лексика. Культурний компонент ЛО, проблема смислової еквівалентності. Культура і граматика. </w:t>
                  </w:r>
                </w:p>
                <w:p w:rsidR="0074127C" w:rsidRPr="00470C2D" w:rsidRDefault="0074127C" w:rsidP="00E21BD6">
                  <w:pPr>
                    <w:framePr w:hSpace="180" w:wrap="around" w:vAnchor="text" w:hAnchor="margin" w:x="216" w:y="182"/>
                    <w:spacing w:after="0" w:line="240" w:lineRule="auto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="000B7B29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. Культура і мовленнєві акти. Культура і дискурс. Аналіз к</w:t>
                  </w:r>
                  <w:r w:rsidR="000B7B29"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ультурно-обумовлених особливостей німецького і українського дискурсів.</w:t>
                  </w:r>
                </w:p>
              </w:tc>
            </w:tr>
            <w:tr w:rsidR="00271010" w:rsidRPr="00E21BD6" w:rsidTr="00B705C0">
              <w:tc>
                <w:tcPr>
                  <w:tcW w:w="599" w:type="dxa"/>
                </w:tcPr>
                <w:p w:rsidR="00271010" w:rsidRPr="00B424D8" w:rsidRDefault="00271010" w:rsidP="00E21BD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A51323" w:rsidRDefault="00A51323" w:rsidP="00E21BD6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0050FA" w:rsidRPr="00470C2D" w:rsidRDefault="00131E14" w:rsidP="00E21BD6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Змістовий модуль 3</w:t>
                  </w:r>
                  <w:r w:rsidR="000050FA" w:rsidRPr="00470C2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B7A1E" w:rsidRPr="00470C2D" w:rsidRDefault="000050FA" w:rsidP="00E21BD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="002B7A1E"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Моделювання інформаційно-комунікативного аспекту МКС у підготовці </w:t>
                  </w:r>
                  <w:r w:rsidR="00915E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магістра </w:t>
                  </w:r>
                  <w:r w:rsidR="00A513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філологі</w:t>
                  </w:r>
                  <w:r w:rsidR="00915E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ї.</w:t>
                  </w:r>
                </w:p>
                <w:p w:rsidR="002B7A1E" w:rsidRPr="00470C2D" w:rsidRDefault="00DD4391" w:rsidP="00E21BD6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="002B7A1E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Інтерактивний аспект МКС: норми, моделі і сценарії поведінки представників німецькомовної та української культур.</w:t>
                  </w:r>
                </w:p>
                <w:p w:rsidR="0074127C" w:rsidRPr="00470C2D" w:rsidRDefault="00131E14" w:rsidP="00E21BD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3.</w:t>
                  </w: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Перцептивний</w:t>
                  </w:r>
                  <w:proofErr w:type="spellEnd"/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аспект МКС. Етноцентризм, атрибуції. </w:t>
                  </w: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Механізми міжособистісного сприймання у МКС: ідентифікація, рефлексія і </w:t>
                  </w:r>
                  <w:proofErr w:type="spellStart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стереотипізація</w:t>
                  </w:r>
                  <w:proofErr w:type="spellEnd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Авто-</w:t>
                  </w:r>
                  <w:proofErr w:type="spellEnd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 </w:t>
                  </w:r>
                  <w:proofErr w:type="spellStart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гетеростереотипи</w:t>
                  </w:r>
                  <w:proofErr w:type="spellEnd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упередження.</w:t>
                  </w:r>
                </w:p>
                <w:p w:rsidR="00131E14" w:rsidRPr="00470C2D" w:rsidRDefault="00131E14" w:rsidP="00E21BD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І</w:t>
                  </w:r>
                  <w:r w:rsidRPr="00470C2D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  <w:t>нкультурація</w:t>
                  </w:r>
                  <w:proofErr w:type="spellEnd"/>
                  <w:r w:rsidRPr="00470C2D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  <w:t xml:space="preserve"> та соціалізація в процесі МКС. Культурний шок. Модель засвоєння чужої культури.</w:t>
                  </w:r>
                </w:p>
                <w:p w:rsidR="00131E14" w:rsidRPr="00470C2D" w:rsidRDefault="00131E14" w:rsidP="00E21BD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074F20" w:rsidTr="000F6553">
        <w:trPr>
          <w:trHeight w:val="58"/>
        </w:trPr>
        <w:tc>
          <w:tcPr>
            <w:tcW w:w="10768" w:type="dxa"/>
            <w:gridSpan w:val="3"/>
          </w:tcPr>
          <w:tbl>
            <w:tblPr>
              <w:tblW w:w="10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676"/>
            </w:tblGrid>
            <w:tr w:rsidR="00271010" w:rsidRPr="00131E14" w:rsidTr="00074F2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074F20" w:rsidRPr="00457272" w:rsidTr="000F6553">
              <w:trPr>
                <w:trHeight w:val="58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7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2. Упевнено володіти державною та іноземними мовами,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що вивчаються, для реалізації письмової та усної комунікації,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зокрема в ситуаціях професійного й наукового спілкування;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презентувати результати досліджень державною, англійською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другою іноземною</w:t>
                  </w:r>
                  <w:r w:rsidRPr="00620BF9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мовами.</w:t>
                  </w:r>
                </w:p>
                <w:p w:rsidR="00E861D4" w:rsidRDefault="00074F20" w:rsidP="00E861D4">
                  <w:pPr>
                    <w:pStyle w:val="TableParagraph"/>
                    <w:framePr w:hSpace="180" w:wrap="around" w:vAnchor="text" w:hAnchor="margin" w:x="216" w:y="182"/>
                    <w:ind w:left="112" w:right="97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 xml:space="preserve">ПРН </w:t>
                  </w:r>
                  <w:r w:rsidR="00E861D4">
                    <w:rPr>
                      <w:sz w:val="24"/>
                      <w:szCs w:val="24"/>
                    </w:rPr>
                    <w:t>4</w:t>
                  </w:r>
                  <w:r w:rsidRPr="00620BF9">
                    <w:rPr>
                      <w:sz w:val="24"/>
                      <w:szCs w:val="24"/>
                    </w:rPr>
                    <w:t xml:space="preserve">. </w:t>
                  </w:r>
                  <w:r w:rsidR="00E861D4" w:rsidRPr="00E861D4">
                    <w:rPr>
                      <w:sz w:val="24"/>
                      <w:szCs w:val="24"/>
                    </w:rPr>
                    <w:t xml:space="preserve"> Оцінювати й критично аналізувати соціально, </w:t>
                  </w:r>
                  <w:proofErr w:type="spellStart"/>
                  <w:r w:rsidR="00E861D4" w:rsidRPr="00E861D4">
                    <w:rPr>
                      <w:sz w:val="24"/>
                      <w:szCs w:val="24"/>
                    </w:rPr>
                    <w:t>особистісно</w:t>
                  </w:r>
                  <w:proofErr w:type="spellEnd"/>
                  <w:r w:rsidR="00E861D4" w:rsidRPr="00E861D4">
                    <w:rPr>
                      <w:sz w:val="24"/>
                      <w:szCs w:val="24"/>
                    </w:rPr>
      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      </w:r>
                  <w:r w:rsidR="00E861D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4F20" w:rsidRPr="00620BF9" w:rsidRDefault="00E861D4" w:rsidP="00E861D4">
                  <w:pPr>
                    <w:pStyle w:val="TableParagraph"/>
                    <w:framePr w:hSpace="180" w:wrap="around" w:vAnchor="text" w:hAnchor="margin" w:x="216" w:y="182"/>
                    <w:ind w:left="112" w:right="9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ПРН </w:t>
                  </w:r>
                  <w:r w:rsidR="00074F20" w:rsidRPr="00620BF9">
                    <w:rPr>
                      <w:sz w:val="24"/>
                      <w:szCs w:val="24"/>
                    </w:rPr>
                    <w:t>5. Знаходити оптимальні шляхи ефективної взаємодії у</w:t>
                  </w:r>
                  <w:r w:rsidR="00074F20"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професійному</w:t>
                  </w:r>
                  <w:r w:rsidR="00074F20"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колективі</w:t>
                  </w:r>
                  <w:r w:rsidR="00074F20"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та</w:t>
                  </w:r>
                  <w:r w:rsidR="00074F20"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з</w:t>
                  </w:r>
                  <w:r w:rsidR="00074F20"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представниками</w:t>
                  </w:r>
                  <w:r w:rsidR="00074F20"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інших</w:t>
                  </w:r>
                  <w:r w:rsidR="00074F20"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професійних</w:t>
                  </w:r>
                  <w:r w:rsidR="00074F20"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груп</w:t>
                  </w:r>
                  <w:r w:rsidR="00074F20"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різного</w:t>
                  </w:r>
                  <w:r w:rsidR="00074F20"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074F20" w:rsidRPr="00620BF9">
                    <w:rPr>
                      <w:sz w:val="24"/>
                      <w:szCs w:val="24"/>
                    </w:rPr>
                    <w:t>рівня.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7.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Аналізувати,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порівнювати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класифікувати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різні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напрями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школи</w:t>
                  </w:r>
                  <w:r w:rsidRPr="00620BF9"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</w:t>
                  </w:r>
                  <w:r w:rsidRPr="00620BF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лінгвістиці.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9.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Характеризувати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теоретичні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засади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(концепції,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категорії,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принципи,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основні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поняття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тощо)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прикладні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аспекти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обраної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філологічної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спеціалізації.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1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11. Здійснювати науковий аналіз мовного, мовленнєвого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 літературного матеріалу, інтерпретувати та структурувати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урахуванням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доцільних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методологічних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принципів,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формулювати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узагальнення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основі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самостійно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опрацьованих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даних.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3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14. Створювати, аналізувати, перекладати й редагувати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тексти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різних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стилів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жанрів.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2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15. Обирати оптимальні дослідницькі підходи й методи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для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аналізу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лінгвістичного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чи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літературного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матеріалу.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 xml:space="preserve">ПРН 16. </w:t>
                  </w:r>
                  <w:r w:rsidR="00CB0272" w:rsidRPr="00180B79">
                    <w:t xml:space="preserve"> </w:t>
                  </w:r>
                  <w:r w:rsidR="00CB0272" w:rsidRPr="00CB0272">
                    <w:rPr>
                      <w:sz w:val="24"/>
                      <w:szCs w:val="24"/>
                    </w:rPr>
            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1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17.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Планувати,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організовувати,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здійснювати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презентувати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дослідження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та/або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інноваційні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розробки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в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конкретній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філологічній галузі.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2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 xml:space="preserve">ПРН 19. Передавати текст оригіналу за допомогою різного виду стилістичних </w:t>
                  </w:r>
                  <w:proofErr w:type="spellStart"/>
                  <w:r w:rsidRPr="00620BF9">
                    <w:rPr>
                      <w:sz w:val="24"/>
                      <w:szCs w:val="24"/>
                    </w:rPr>
                    <w:t>адаптацій</w:t>
                  </w:r>
                  <w:proofErr w:type="spellEnd"/>
                  <w:r w:rsidRPr="00620BF9">
                    <w:rPr>
                      <w:sz w:val="24"/>
                      <w:szCs w:val="24"/>
                    </w:rPr>
                    <w:t xml:space="preserve"> у мові перекладу і прагматичних стратегій, які орієнтовані на читача тексту перекладу згідно з нормами мови перекладу й критеріями адекватного перекладу.</w:t>
                  </w:r>
                </w:p>
                <w:p w:rsidR="00074F20" w:rsidRPr="00FD677A" w:rsidRDefault="00074F20" w:rsidP="00880306">
                  <w:pPr>
                    <w:pStyle w:val="TableParagraph"/>
                    <w:framePr w:hSpace="180" w:wrap="around" w:vAnchor="text" w:hAnchor="margin" w:x="216" w:y="182"/>
                    <w:ind w:left="112" w:right="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F20" w:rsidRPr="00334405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Лекційні заняття.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Pr="00CC40BC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Pr="00CC40BC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Pr="00B705C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F20" w:rsidRPr="00A90613" w:rsidRDefault="00074F20" w:rsidP="00074F2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Pr="00B705C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675A0C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C5379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відбувається </w:t>
            </w:r>
            <w:r w:rsidR="00D727FD">
              <w:rPr>
                <w:rFonts w:ascii="Times New Roman" w:hAnsi="Times New Roman"/>
                <w:sz w:val="24"/>
                <w:szCs w:val="24"/>
                <w:lang w:val="uk-UA"/>
              </w:rPr>
              <w:t>напри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навчального матеріалу курсу і складається </w:t>
            </w:r>
            <w:r w:rsidR="00D727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10. </w:t>
            </w:r>
            <w:r w:rsidR="002B20A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аксимальний рейтинговий бал за роботу протягом семестру може становити 50.</w:t>
            </w:r>
          </w:p>
          <w:p w:rsidR="002B20AC" w:rsidRPr="00085786" w:rsidRDefault="002C5379" w:rsidP="002B20A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Модульна контрольна робота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085786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ся в 4-бальній системі («відмінно» («5»), «добре» («4»), «задовільно» («3»), «незадовільно» («2»)).</w:t>
            </w:r>
            <w:r w:rsidR="002B20AC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Ці оцінки трансформуються в </w:t>
            </w:r>
            <w:r w:rsidR="002B20AC"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="002B20AC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2B20AC" w:rsidRPr="00085786" w:rsidRDefault="002B20AC" w:rsidP="002B20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2B20AC" w:rsidRPr="00675A0C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  <w:r w:rsidRPr="00675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90DE5" w:rsidRPr="00790DE5" w:rsidRDefault="00620E21" w:rsidP="002B2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МКР з дисципліни </w:t>
            </w:r>
            <w:r w:rsidRPr="00620E21">
              <w:rPr>
                <w:rFonts w:ascii="Times New Roman" w:hAnsi="Times New Roman"/>
                <w:lang w:val="uk-UA"/>
              </w:rPr>
              <w:t>«</w:t>
            </w:r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620E21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таких завдань: відповідь 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на теоретичн</w:t>
            </w:r>
            <w:r w:rsidR="0008578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і виконання двох практичних завдань. Відповід</w:t>
            </w:r>
            <w:r w:rsidR="001E06A0" w:rsidRPr="001E06A0">
              <w:rPr>
                <w:rFonts w:ascii="Times New Roman" w:hAnsi="Times New Roman"/>
                <w:lang w:val="uk-UA"/>
              </w:rPr>
              <w:t>ь</w:t>
            </w:r>
            <w:r w:rsidR="001E06A0">
              <w:rPr>
                <w:rFonts w:ascii="Times New Roman" w:hAnsi="Times New Roman"/>
                <w:lang w:val="uk-UA"/>
              </w:rPr>
              <w:t xml:space="preserve"> 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теоретичні питання оцінюються за критерієм: </w:t>
            </w:r>
            <w:r w:rsidR="00790DE5" w:rsidRPr="00790DE5">
              <w:rPr>
                <w:rFonts w:ascii="Times New Roman" w:hAnsi="Times New Roman"/>
                <w:sz w:val="24"/>
                <w:szCs w:val="24"/>
                <w:lang w:val="uk-UA"/>
              </w:rPr>
              <w:t>правильність і повнота відповіді,</w:t>
            </w:r>
          </w:p>
          <w:p w:rsidR="001E06A0" w:rsidRPr="001E06A0" w:rsidRDefault="00790DE5" w:rsidP="00790D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90DE5">
              <w:rPr>
                <w:rFonts w:ascii="Times New Roman" w:hAnsi="Times New Roman"/>
                <w:sz w:val="24"/>
                <w:szCs w:val="24"/>
                <w:lang w:val="uk-UA"/>
              </w:rPr>
              <w:t>точність формулювань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E06A0" w:rsidRPr="00790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 за завдання – 1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 Виконання практичних завдань оцінюється за критеріями: зміст, форма, відповідність інструкції</w:t>
            </w:r>
            <w:r w:rsidR="00C962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62B7" w:rsidRPr="00C962B7">
              <w:rPr>
                <w:rFonts w:ascii="Times New Roman" w:hAnsi="Times New Roman"/>
                <w:sz w:val="24"/>
                <w:szCs w:val="24"/>
                <w:lang w:val="uk-UA"/>
              </w:rPr>
              <w:t>адекватність перекладу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Кількість балів за виконання практичних завдань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271010" w:rsidRPr="00AC46DC" w:rsidRDefault="00271010" w:rsidP="007C50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</w:tc>
      </w:tr>
      <w:tr w:rsidR="00271010" w:rsidRPr="00E21BD6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віти (очної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B21D87">
              <w:rPr>
                <w:rFonts w:ascii="Times New Roman" w:hAnsi="Times New Roman"/>
                <w:sz w:val="24"/>
                <w:szCs w:val="28"/>
                <w:lang w:val="uk-UA"/>
              </w:rPr>
              <w:t>або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заочної)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703E98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пропущених занять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Pr="00AC46DC" w:rsidRDefault="00976087" w:rsidP="00FF66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Дотримання принципу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9760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Порушенням цього принципу є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фальс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271010" w:rsidRPr="00AC46DC" w:rsidRDefault="00271010" w:rsidP="00104C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</w:tc>
      </w:tr>
      <w:tr w:rsidR="00271010" w:rsidRPr="001C11DD" w:rsidTr="007C5087">
        <w:trPr>
          <w:gridAfter w:val="1"/>
          <w:wAfter w:w="7" w:type="dxa"/>
          <w:trHeight w:val="7652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Pr="000D5B5C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Манакін</w:t>
            </w:r>
            <w:proofErr w:type="spellEnd"/>
            <w:r w:rsidRPr="00C8155E">
              <w:rPr>
                <w:rFonts w:ascii="Times New Roman" w:eastAsia="Times New Roman" w:hAnsi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В. М. </w:t>
            </w:r>
            <w:r w:rsidRPr="00C8155E">
              <w:rPr>
                <w:rFonts w:ascii="Times New Roman" w:eastAsia="Times New Roman" w:hAnsi="Times New Roman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lang w:val="uk-UA" w:eastAsia="ru-RU"/>
              </w:rPr>
              <w:t>2012</w:t>
            </w:r>
            <w:r w:rsidRPr="00FB1463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Мова і міжкультурна комунікація. Навчальний посібник. Київ: Видавничий центр “Академія”. 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Broszinsky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Schwabe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Interkulturelle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Kommunikation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Missverst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ä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ndnisse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Verst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ä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ndigung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Wiesbaden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Verlag für Sozialwissenschaften. 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Eismann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Erfolgreich in der interkulturellen Kommu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nikation. Berlin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Cornelsen Verlag. </w:t>
            </w:r>
          </w:p>
          <w:p w:rsidR="00C8155E" w:rsidRPr="00643D36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Thomas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Handbuch Interkulturelle Kommunikation und Kooperation. </w:t>
            </w:r>
            <w:r w:rsidRPr="00913261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Bd. 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In: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Grundlagen und Praxisfelder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A. Thomas, E.-U. 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inast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 S.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Schroll-Machl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(Hrsg.)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2. überarbeitete Auflage. Göttingen: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Vandenhoeck</w:t>
            </w:r>
            <w:proofErr w:type="spellEnd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&amp; Ruprecht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Додаткова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C8155E" w:rsidRPr="00813438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proofErr w:type="spellStart"/>
            <w:r w:rsidRPr="00644E7C">
              <w:rPr>
                <w:rFonts w:ascii="Times New Roman" w:eastAsia="Times New Roman" w:hAnsi="Times New Roman"/>
                <w:lang w:val="uk-UA" w:eastAsia="ru-RU"/>
              </w:rPr>
              <w:t>Бацевич</w:t>
            </w:r>
            <w:proofErr w:type="spellEnd"/>
            <w:r w:rsidRPr="00DA2ED1">
              <w:rPr>
                <w:rFonts w:ascii="Times New Roman" w:eastAsia="Times New Roman" w:hAnsi="Times New Roman"/>
                <w:lang w:val="de-DE" w:eastAsia="ru-RU"/>
              </w:rPr>
              <w:t>,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 Ф. С. 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2009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).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Основи комунікативної лінгвістики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Київ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: Видавничий центр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“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Академія</w:t>
            </w:r>
            <w:r>
              <w:rPr>
                <w:rFonts w:ascii="Times New Roman" w:eastAsia="Times New Roman" w:hAnsi="Times New Roman"/>
                <w:lang w:val="uk-UA" w:eastAsia="ru-RU"/>
              </w:rPr>
              <w:t>”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Pr="00332FB8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Pr="0081343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644E7C">
              <w:rPr>
                <w:rFonts w:ascii="Times New Roman" w:eastAsia="Times New Roman" w:hAnsi="Times New Roman"/>
                <w:lang w:val="uk-UA" w:eastAsia="ru-RU"/>
              </w:rPr>
              <w:t>Бацевич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Ф. С.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2007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Словник термінів міжкультурної комунікації</w:t>
            </w:r>
            <w:r>
              <w:rPr>
                <w:rFonts w:ascii="Times New Roman" w:eastAsia="Times New Roman" w:hAnsi="Times New Roman"/>
                <w:lang w:val="uk-UA" w:eastAsia="ru-RU"/>
              </w:rPr>
              <w:t>. Київ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: Видавництво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“Довіра”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FB8">
              <w:rPr>
                <w:rFonts w:ascii="Times New Roman" w:eastAsia="Times New Roman" w:hAnsi="Times New Roman"/>
                <w:lang w:val="uk-UA" w:eastAsia="ru-RU"/>
              </w:rPr>
              <w:t xml:space="preserve">3.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Воротняк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Л. І.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2010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Моделювання ситуацій міжкультурної комунікації в процесі навчання іноземної мови магістрів у вищих педагогічних навчальних закладах [Електронний ресурс]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332FB8">
              <w:rPr>
                <w:rFonts w:ascii="Times New Roman" w:eastAsia="Times New Roman" w:hAnsi="Times New Roman"/>
                <w:i/>
                <w:lang w:val="uk-UA" w:eastAsia="ru-RU"/>
              </w:rPr>
              <w:t>Вісник Національної академії Державної прикордонної служби України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. Вип. 3. http://www.nbuv.gov.ua /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ej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ournals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>/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Vnadps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/20103/10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vlipnz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.pdf</w:t>
            </w:r>
            <w:proofErr w:type="spellEnd"/>
            <w:r w:rsidRPr="0041336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C8155E" w:rsidRPr="00161532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4.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Кияк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Т. Р.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95591C">
              <w:rPr>
                <w:rFonts w:ascii="Times New Roman" w:eastAsia="Times New Roman" w:hAnsi="Times New Roman"/>
                <w:lang w:val="uk-UA" w:eastAsia="ru-RU"/>
              </w:rPr>
              <w:t>Огуй</w:t>
            </w:r>
            <w:proofErr w:type="spellEnd"/>
            <w:r w:rsidRPr="0095591C">
              <w:rPr>
                <w:rFonts w:ascii="Times New Roman" w:eastAsia="Times New Roman" w:hAnsi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О. Д.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Науменко,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А. М.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2006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Теорія та практика перекладу (німецька мова): </w:t>
            </w: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ідручник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Вінниця: Нова Книга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Pr="00B23856" w:rsidRDefault="00B84994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  <w:r w:rsidR="00C8155E" w:rsidRPr="001348B9">
              <w:rPr>
                <w:rFonts w:ascii="Times New Roman" w:eastAsia="Times New Roman" w:hAnsi="Times New Roman"/>
                <w:lang w:val="de-DE" w:eastAsia="ru-RU"/>
              </w:rPr>
              <w:t xml:space="preserve">. Hall, </w:t>
            </w:r>
            <w:proofErr w:type="gramStart"/>
            <w:r w:rsidR="00C8155E" w:rsidRPr="001348B9">
              <w:rPr>
                <w:rFonts w:ascii="Times New Roman" w:eastAsia="Times New Roman" w:hAnsi="Times New Roman"/>
                <w:lang w:val="de-DE" w:eastAsia="ru-RU"/>
              </w:rPr>
              <w:t>E.T.,</w:t>
            </w:r>
            <w:proofErr w:type="gramEnd"/>
            <w:r w:rsidR="00C8155E" w:rsidRPr="001348B9">
              <w:rPr>
                <w:rFonts w:ascii="Times New Roman" w:eastAsia="Times New Roman" w:hAnsi="Times New Roman"/>
                <w:lang w:val="de-DE" w:eastAsia="ru-RU"/>
              </w:rPr>
              <w:t xml:space="preserve"> Hall, M. R. (1980). </w:t>
            </w:r>
            <w:r w:rsidR="00C8155E" w:rsidRPr="00DA2ED1">
              <w:rPr>
                <w:rFonts w:ascii="Times New Roman" w:eastAsia="Times New Roman" w:hAnsi="Times New Roman"/>
                <w:lang w:val="de-DE" w:eastAsia="ru-RU"/>
              </w:rPr>
              <w:t>Verborgene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 xml:space="preserve"> Signale. Studien zur internationalen Kommunikation. Über den Umgang mit den Amerikanern. Hamburg: Stern. </w:t>
            </w:r>
          </w:p>
          <w:p w:rsidR="00271010" w:rsidRPr="00841C9D" w:rsidRDefault="00B84994" w:rsidP="00E55A9C">
            <w:pPr>
              <w:pStyle w:val="1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. Hofstede, G., Mayer, P., Sondermann, M., Lee, A. (2006). Lokales Denken, globales Handeln. Kulturen, Zusammenarbeit und Managemen</w:t>
            </w:r>
            <w:r w:rsidR="00C8155E">
              <w:rPr>
                <w:rFonts w:ascii="Times New Roman" w:eastAsia="Times New Roman" w:hAnsi="Times New Roman"/>
                <w:lang w:val="de-DE" w:eastAsia="ru-RU"/>
              </w:rPr>
              <w:t xml:space="preserve">t. 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München: C.</w:t>
            </w:r>
            <w:r w:rsidR="00C815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H.</w:t>
            </w:r>
            <w:r w:rsidR="00C815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Beck.</w:t>
            </w: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E21BD6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E21BD6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1.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https://www.youtube.com/watch?v=GydVGIDyEQ0</w:t>
                  </w:r>
                </w:p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2.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https://www.youtube.com/watch?v=EktkbhKCwyo</w:t>
                  </w:r>
                </w:p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3.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https://www.youtube.com/watch?v=QyRuNDvyiJ8</w:t>
                  </w:r>
                </w:p>
                <w:p w:rsidR="00D85BF7" w:rsidRDefault="00104C5C" w:rsidP="00D85BF7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4.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https://www.youtube.com/watch?v=NOHLPvdpkcY</w:t>
                  </w:r>
                </w:p>
                <w:p w:rsidR="00104C5C" w:rsidRPr="007E7B5A" w:rsidRDefault="00D85BF7" w:rsidP="00D85BF7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5.</w:t>
                  </w:r>
                  <w:r w:rsidRPr="00BD69AA">
                    <w:rPr>
                      <w:lang w:val="uk-UA"/>
                    </w:rPr>
                    <w:t xml:space="preserve"> </w:t>
                  </w:r>
                  <w:r w:rsidR="00104C5C"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https://www.youtube.com/watch?v=l2nrWSFXo32</w:t>
                  </w: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7C5087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A26A2"/>
    <w:multiLevelType w:val="hybridMultilevel"/>
    <w:tmpl w:val="47F04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4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5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57AE2"/>
    <w:multiLevelType w:val="hybridMultilevel"/>
    <w:tmpl w:val="742E776A"/>
    <w:lvl w:ilvl="0" w:tplc="D736F458">
      <w:start w:val="1"/>
      <w:numFmt w:val="decimal"/>
      <w:lvlText w:val="%1."/>
      <w:lvlJc w:val="left"/>
      <w:pPr>
        <w:ind w:left="47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7"/>
  </w:num>
  <w:num w:numId="21">
    <w:abstractNumId w:val="16"/>
  </w:num>
  <w:num w:numId="22">
    <w:abstractNumId w:val="1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368C7"/>
    <w:rsid w:val="00074F20"/>
    <w:rsid w:val="000762A3"/>
    <w:rsid w:val="00085786"/>
    <w:rsid w:val="00091CC6"/>
    <w:rsid w:val="000A5BBA"/>
    <w:rsid w:val="000B168B"/>
    <w:rsid w:val="000B7B29"/>
    <w:rsid w:val="000D5B5C"/>
    <w:rsid w:val="000F6553"/>
    <w:rsid w:val="00104C5C"/>
    <w:rsid w:val="00106229"/>
    <w:rsid w:val="0011293C"/>
    <w:rsid w:val="001301A2"/>
    <w:rsid w:val="00131E14"/>
    <w:rsid w:val="001342A4"/>
    <w:rsid w:val="001348B9"/>
    <w:rsid w:val="00143161"/>
    <w:rsid w:val="00146A3B"/>
    <w:rsid w:val="00160452"/>
    <w:rsid w:val="00164157"/>
    <w:rsid w:val="001A1611"/>
    <w:rsid w:val="001A74A6"/>
    <w:rsid w:val="001C11DD"/>
    <w:rsid w:val="001C46B6"/>
    <w:rsid w:val="001D6B3A"/>
    <w:rsid w:val="001E06A0"/>
    <w:rsid w:val="001E3D24"/>
    <w:rsid w:val="001F5439"/>
    <w:rsid w:val="002346D0"/>
    <w:rsid w:val="0025201B"/>
    <w:rsid w:val="00256D8E"/>
    <w:rsid w:val="00271010"/>
    <w:rsid w:val="002B20AC"/>
    <w:rsid w:val="002B7A1E"/>
    <w:rsid w:val="002C5379"/>
    <w:rsid w:val="002F0F5D"/>
    <w:rsid w:val="00334405"/>
    <w:rsid w:val="00377D21"/>
    <w:rsid w:val="00385069"/>
    <w:rsid w:val="003B7DC7"/>
    <w:rsid w:val="003C784F"/>
    <w:rsid w:val="003D5992"/>
    <w:rsid w:val="003E4A2A"/>
    <w:rsid w:val="003E74E5"/>
    <w:rsid w:val="00421ED0"/>
    <w:rsid w:val="00457272"/>
    <w:rsid w:val="00465AAF"/>
    <w:rsid w:val="00470C2D"/>
    <w:rsid w:val="00471F27"/>
    <w:rsid w:val="00484D6C"/>
    <w:rsid w:val="00493AD0"/>
    <w:rsid w:val="004C179D"/>
    <w:rsid w:val="004E529C"/>
    <w:rsid w:val="004E71CD"/>
    <w:rsid w:val="00503CEB"/>
    <w:rsid w:val="00524B34"/>
    <w:rsid w:val="00576843"/>
    <w:rsid w:val="005B6881"/>
    <w:rsid w:val="005D51EA"/>
    <w:rsid w:val="005D55DA"/>
    <w:rsid w:val="005F3F4F"/>
    <w:rsid w:val="006016D3"/>
    <w:rsid w:val="00620BF9"/>
    <w:rsid w:val="00620E21"/>
    <w:rsid w:val="00626FDC"/>
    <w:rsid w:val="00675A0C"/>
    <w:rsid w:val="006A6C8F"/>
    <w:rsid w:val="006C5E94"/>
    <w:rsid w:val="006D3856"/>
    <w:rsid w:val="006E6D8A"/>
    <w:rsid w:val="007009FE"/>
    <w:rsid w:val="00703E98"/>
    <w:rsid w:val="00727537"/>
    <w:rsid w:val="0074127C"/>
    <w:rsid w:val="00755451"/>
    <w:rsid w:val="00790DE5"/>
    <w:rsid w:val="007B3AED"/>
    <w:rsid w:val="007C2E42"/>
    <w:rsid w:val="007C5087"/>
    <w:rsid w:val="007D58BA"/>
    <w:rsid w:val="007E435F"/>
    <w:rsid w:val="007E7B5A"/>
    <w:rsid w:val="007F1272"/>
    <w:rsid w:val="007F1E90"/>
    <w:rsid w:val="008023DC"/>
    <w:rsid w:val="00821FD2"/>
    <w:rsid w:val="00822D11"/>
    <w:rsid w:val="00841C9D"/>
    <w:rsid w:val="00880306"/>
    <w:rsid w:val="00882F5F"/>
    <w:rsid w:val="00915EF7"/>
    <w:rsid w:val="0092014F"/>
    <w:rsid w:val="00940E34"/>
    <w:rsid w:val="00945475"/>
    <w:rsid w:val="00964213"/>
    <w:rsid w:val="009642D8"/>
    <w:rsid w:val="00976087"/>
    <w:rsid w:val="009B79E8"/>
    <w:rsid w:val="009C2743"/>
    <w:rsid w:val="00A12285"/>
    <w:rsid w:val="00A51323"/>
    <w:rsid w:val="00A75747"/>
    <w:rsid w:val="00A90613"/>
    <w:rsid w:val="00AA3DE4"/>
    <w:rsid w:val="00AA3F49"/>
    <w:rsid w:val="00AB64CF"/>
    <w:rsid w:val="00AC46DC"/>
    <w:rsid w:val="00AC595D"/>
    <w:rsid w:val="00B06F7F"/>
    <w:rsid w:val="00B16D25"/>
    <w:rsid w:val="00B21D87"/>
    <w:rsid w:val="00B27414"/>
    <w:rsid w:val="00B424D8"/>
    <w:rsid w:val="00B55813"/>
    <w:rsid w:val="00B705C0"/>
    <w:rsid w:val="00B84994"/>
    <w:rsid w:val="00B87B87"/>
    <w:rsid w:val="00BD0877"/>
    <w:rsid w:val="00C11915"/>
    <w:rsid w:val="00C167E8"/>
    <w:rsid w:val="00C25AB2"/>
    <w:rsid w:val="00C752AE"/>
    <w:rsid w:val="00C804E0"/>
    <w:rsid w:val="00C8155E"/>
    <w:rsid w:val="00C962B7"/>
    <w:rsid w:val="00CA02F4"/>
    <w:rsid w:val="00CA77E0"/>
    <w:rsid w:val="00CB0272"/>
    <w:rsid w:val="00CB035E"/>
    <w:rsid w:val="00CC40BC"/>
    <w:rsid w:val="00CD04DC"/>
    <w:rsid w:val="00CD06CF"/>
    <w:rsid w:val="00CE4BB6"/>
    <w:rsid w:val="00D36B0D"/>
    <w:rsid w:val="00D54243"/>
    <w:rsid w:val="00D568DB"/>
    <w:rsid w:val="00D57937"/>
    <w:rsid w:val="00D727FD"/>
    <w:rsid w:val="00D85BF7"/>
    <w:rsid w:val="00D972F9"/>
    <w:rsid w:val="00DB2090"/>
    <w:rsid w:val="00DD4391"/>
    <w:rsid w:val="00DD78DD"/>
    <w:rsid w:val="00E21BD6"/>
    <w:rsid w:val="00E32B7E"/>
    <w:rsid w:val="00E507E0"/>
    <w:rsid w:val="00E55A9C"/>
    <w:rsid w:val="00E620E6"/>
    <w:rsid w:val="00E64906"/>
    <w:rsid w:val="00E861D4"/>
    <w:rsid w:val="00EC37C7"/>
    <w:rsid w:val="00ED5425"/>
    <w:rsid w:val="00EF2DED"/>
    <w:rsid w:val="00F0495D"/>
    <w:rsid w:val="00F13B69"/>
    <w:rsid w:val="00F1690E"/>
    <w:rsid w:val="00F24C7A"/>
    <w:rsid w:val="00F436E1"/>
    <w:rsid w:val="00F827D1"/>
    <w:rsid w:val="00F82E3D"/>
    <w:rsid w:val="00F87582"/>
    <w:rsid w:val="00F9550A"/>
    <w:rsid w:val="00FD677A"/>
    <w:rsid w:val="00FD6FB2"/>
    <w:rsid w:val="00FE1D70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11972</Words>
  <Characters>6825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Elvira Bondarenko</cp:lastModifiedBy>
  <cp:revision>24</cp:revision>
  <dcterms:created xsi:type="dcterms:W3CDTF">2023-09-05T11:38:00Z</dcterms:created>
  <dcterms:modified xsi:type="dcterms:W3CDTF">2023-09-05T12:15:00Z</dcterms:modified>
</cp:coreProperties>
</file>