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493"/>
        <w:gridCol w:w="7"/>
      </w:tblGrid>
      <w:tr w:rsidR="00271010" w:rsidRPr="00C30629" w:rsidTr="00684418">
        <w:tc>
          <w:tcPr>
            <w:tcW w:w="11018" w:type="dxa"/>
            <w:gridSpan w:val="3"/>
            <w:shd w:val="clear" w:color="auto" w:fill="A6A6A6"/>
          </w:tcPr>
          <w:p w:rsidR="00271010" w:rsidRPr="00DC7802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DC780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DC780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5D38B3" w:rsidRPr="005D38B3" w:rsidRDefault="00271010" w:rsidP="005D38B3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DC78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5D38B3" w:rsidRPr="005D38B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5D38B3" w:rsidRPr="005D38B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Фразеологічні одиниці в німецькій мові: </w:t>
            </w:r>
            <w:proofErr w:type="spellStart"/>
            <w:r w:rsidR="005D38B3" w:rsidRPr="005D38B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перекладознавчий</w:t>
            </w:r>
            <w:proofErr w:type="spellEnd"/>
            <w:r w:rsidR="005D38B3" w:rsidRPr="005D38B3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аспект</w:t>
            </w:r>
          </w:p>
          <w:p w:rsidR="00271010" w:rsidRPr="00F827D1" w:rsidRDefault="00271010" w:rsidP="00C306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C780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E45A7C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Рівень вищої освіти</w:t>
            </w:r>
          </w:p>
        </w:tc>
        <w:tc>
          <w:tcPr>
            <w:tcW w:w="8500" w:type="dxa"/>
            <w:gridSpan w:val="2"/>
          </w:tcPr>
          <w:p w:rsidR="00271010" w:rsidRPr="00FC1ACF" w:rsidRDefault="00DC7802" w:rsidP="00DC780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A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Бакалавр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C1ACF" w:rsidRDefault="00FC1ACF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C1ACF">
              <w:rPr>
                <w:rFonts w:ascii="Times New Roman" w:hAnsi="Times New Roman" w:cs="Times New Roman"/>
                <w:b/>
                <w:bCs/>
                <w:lang w:val="uk-UA"/>
              </w:rPr>
              <w:t>03 Гуманітарні науки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C1ACF" w:rsidRDefault="00FC1ACF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C1ACF">
              <w:rPr>
                <w:rFonts w:ascii="Times New Roman" w:hAnsi="Times New Roman" w:cs="Times New Roman"/>
                <w:b/>
                <w:bCs/>
                <w:lang w:val="uk-UA"/>
              </w:rPr>
              <w:t>035 Філологія</w:t>
            </w:r>
          </w:p>
        </w:tc>
      </w:tr>
      <w:tr w:rsidR="00271010" w:rsidRPr="005D38B3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E45A7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E45A7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 програма</w:t>
            </w:r>
          </w:p>
        </w:tc>
        <w:tc>
          <w:tcPr>
            <w:tcW w:w="8500" w:type="dxa"/>
            <w:gridSpan w:val="2"/>
          </w:tcPr>
          <w:p w:rsidR="00FC1ACF" w:rsidRPr="00FC1ACF" w:rsidRDefault="00FC1ACF" w:rsidP="00FC1ACF">
            <w:pPr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A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Англійська мова і література, друга іноземна мова, переклад</w:t>
            </w:r>
          </w:p>
          <w:p w:rsidR="00271010" w:rsidRPr="00FC1ACF" w:rsidRDefault="00271010" w:rsidP="00FC1ACF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Вибіркова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Українська</w:t>
            </w:r>
            <w:r w:rsidR="00DC7802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, німецька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 xml:space="preserve">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V</w:t>
            </w:r>
            <w:r w:rsidR="00E45A7C">
              <w:rPr>
                <w:rFonts w:ascii="Times New Roman" w:hAnsi="Times New Roman" w:cs="Times New Roman"/>
                <w:b/>
                <w:color w:val="auto"/>
                <w:lang w:val="uk-UA"/>
              </w:rPr>
              <w:t>ІІІ</w:t>
            </w:r>
            <w:bookmarkStart w:id="0" w:name="_GoBack"/>
            <w:bookmarkEnd w:id="0"/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5D38B3" w:rsidTr="00C30629">
        <w:trPr>
          <w:trHeight w:val="548"/>
        </w:trPr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271010" w:rsidRPr="00E95890" w:rsidRDefault="0066107A" w:rsidP="0066107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95890">
              <w:rPr>
                <w:rFonts w:ascii="Times New Roman" w:hAnsi="Times New Roman"/>
                <w:b/>
                <w:lang w:val="uk-UA"/>
              </w:rPr>
              <w:t>Дубровська</w:t>
            </w:r>
            <w:proofErr w:type="spellEnd"/>
            <w:r w:rsidRPr="00E95890">
              <w:rPr>
                <w:rFonts w:ascii="Times New Roman" w:hAnsi="Times New Roman"/>
                <w:b/>
                <w:lang w:val="uk-UA"/>
              </w:rPr>
              <w:t xml:space="preserve"> Ірина Борисівна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, </w:t>
            </w:r>
            <w:r w:rsidRPr="00E95890">
              <w:rPr>
                <w:rFonts w:ascii="Times New Roman" w:hAnsi="Times New Roman"/>
                <w:lang w:val="uk-UA"/>
              </w:rPr>
              <w:t>кандидат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 філологічних наук, </w:t>
            </w:r>
            <w:r w:rsidR="00B11FCE" w:rsidRPr="00E95890">
              <w:rPr>
                <w:rFonts w:ascii="Times New Roman" w:hAnsi="Times New Roman"/>
                <w:lang w:val="uk-UA"/>
              </w:rPr>
              <w:t>доцент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, </w:t>
            </w:r>
            <w:r w:rsidR="00B11FCE" w:rsidRPr="00E95890">
              <w:rPr>
                <w:rFonts w:ascii="Times New Roman" w:hAnsi="Times New Roman"/>
                <w:lang w:val="uk-UA"/>
              </w:rPr>
              <w:t xml:space="preserve">кафедри германської і фіно-угорської філології імені професора Г. Г. </w:t>
            </w:r>
            <w:proofErr w:type="spellStart"/>
            <w:r w:rsidR="00B11FCE" w:rsidRPr="00E95890">
              <w:rPr>
                <w:rFonts w:ascii="Times New Roman" w:hAnsi="Times New Roman"/>
                <w:lang w:val="uk-UA"/>
              </w:rPr>
              <w:t>Почепцова</w:t>
            </w:r>
            <w:proofErr w:type="spellEnd"/>
          </w:p>
        </w:tc>
      </w:tr>
      <w:tr w:rsidR="00271010" w:rsidRPr="005D38B3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5D38B3" w:rsidRPr="005D38B3" w:rsidRDefault="0066107A" w:rsidP="005D38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71010"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исципліна «</w:t>
            </w:r>
            <w:r w:rsidR="005D38B3" w:rsidRPr="005D38B3">
              <w:rPr>
                <w:sz w:val="24"/>
                <w:szCs w:val="24"/>
                <w:lang w:val="uk-UA"/>
              </w:rPr>
              <w:t xml:space="preserve"> </w:t>
            </w:r>
            <w:r w:rsidR="005D38B3" w:rsidRPr="005D38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Фразеологічні одиниці в німецькій мові: </w:t>
            </w:r>
            <w:proofErr w:type="spellStart"/>
            <w:r w:rsidR="005D38B3" w:rsidRPr="005D38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="005D38B3" w:rsidRPr="005D38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аспект</w:t>
            </w:r>
            <w:r w:rsidR="00271010"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="00B11FCE" w:rsidRPr="005D38B3">
              <w:rPr>
                <w:sz w:val="24"/>
                <w:szCs w:val="24"/>
                <w:lang w:val="uk-UA"/>
              </w:rPr>
              <w:t xml:space="preserve"> </w:t>
            </w:r>
            <w:r w:rsidR="00B11FCE"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належить до 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вибіркових</w:t>
            </w:r>
            <w:r w:rsidR="00B11FCE"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 професійної підготовки 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бакалавра</w:t>
            </w:r>
            <w:r w:rsidR="00B11FCE"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5D38B3" w:rsidRPr="005D38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D38B3" w:rsidRPr="005D38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даному спецкурсі розглядаються</w:t>
            </w:r>
            <w:r w:rsidR="005D38B3" w:rsidRPr="005D38B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лексичні проблеми усного та письмового перекладу, </w:t>
            </w:r>
            <w:r w:rsidR="005D38B3" w:rsidRPr="005D38B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формуються</w:t>
            </w:r>
            <w:r w:rsidR="005D38B3" w:rsidRPr="005D38B3">
              <w:rPr>
                <w:rFonts w:ascii="Times New Roman" w:hAnsi="Times New Roman"/>
                <w:bCs/>
                <w:caps/>
                <w:sz w:val="24"/>
                <w:szCs w:val="24"/>
                <w:lang w:val="uk-UA" w:eastAsia="ru-RU"/>
              </w:rPr>
              <w:t xml:space="preserve"> </w:t>
            </w:r>
            <w:r w:rsidR="005D38B3" w:rsidRPr="005D38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базові знання з теорії і практики усного та письмового паралельного перекладу з другої іноземної  (німецької) та української мов, враховуючи </w:t>
            </w:r>
            <w:r w:rsidR="005D38B3" w:rsidRPr="005D38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лексичні, а також синтаксичні, композиційні, морфологічні особливості усного та письмового дискурсу. </w:t>
            </w:r>
            <w:r w:rsidR="005D38B3"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 навчальної дисципліни розкривається в трьох змістових модулях, у яких закладається теоретико-методологічна база паралельного перекладу та термінологічний апарат, здійснюється </w:t>
            </w:r>
            <w:r w:rsidR="005D38B3" w:rsidRPr="005D38B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когнітивний підхід до перекладу текстів усного та письмового дискурсу, аналізуються перекладацькі стратегії, що застосовуються у процесі трансформації текстів усного та письмового дискурсу. </w:t>
            </w:r>
            <w:r w:rsidR="005D38B3"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Важливе місце в курсі відводиться вивченню типологічних особливостей двомовного перекладу, оволодінню сучасними інформаційними технологіями та спеціальною апаратурою для виконання усного та письмового перекладу, набуттю практичних навичок у професійній діяльності викладача іноземної мови та перекладача.</w:t>
            </w:r>
          </w:p>
          <w:p w:rsidR="005D38B3" w:rsidRPr="005D38B3" w:rsidRDefault="005D38B3" w:rsidP="005D38B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вивчення спецкурсу поглиблюються наукові уявлення про завдання, об’єкт, предмет лексикологічної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наукових дисциплін; визначаються дефініції головних понять теорії та практики усного і письмового перекладу, а також лексикології та фразеології;  пропонується виконання практичних завдань з двомовного перекладу.</w:t>
            </w:r>
          </w:p>
          <w:p w:rsidR="00740B5F" w:rsidRPr="003C784F" w:rsidRDefault="00740B5F" w:rsidP="002C624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5D38B3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____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9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0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_____ год.,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</w:t>
                  </w: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 xml:space="preserve">/вечірня 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740B5F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  <w:r w:rsidR="00271010"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  <w:r w:rsidR="00740B5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5D38B3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5D38B3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B11FCE" w:rsidRPr="00C30629" w:rsidRDefault="00B11FCE" w:rsidP="003C784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30629">
              <w:rPr>
                <w:rFonts w:ascii="Times New Roman" w:hAnsi="Times New Roman"/>
                <w:lang w:val="uk-UA"/>
              </w:rPr>
              <w:t xml:space="preserve">Для успішного засвоєння дисципліни </w:t>
            </w:r>
            <w:r w:rsidR="00A9438E" w:rsidRPr="00C30629">
              <w:rPr>
                <w:rFonts w:ascii="Times New Roman" w:hAnsi="Times New Roman"/>
                <w:lang w:val="uk-UA"/>
              </w:rPr>
              <w:t>студенти</w:t>
            </w:r>
            <w:r w:rsidRPr="00C30629">
              <w:rPr>
                <w:rFonts w:ascii="Times New Roman" w:hAnsi="Times New Roman"/>
                <w:lang w:val="uk-UA"/>
              </w:rPr>
              <w:t xml:space="preserve"> повинні володіти знаннями в галузях: “</w:t>
            </w:r>
            <w:r w:rsidR="000F71F4" w:rsidRPr="00C30629">
              <w:rPr>
                <w:rFonts w:ascii="Times New Roman" w:hAnsi="Times New Roman"/>
                <w:lang w:val="uk-UA"/>
              </w:rPr>
              <w:t>Німецька мова як друга іноземна</w:t>
            </w:r>
            <w:r w:rsidRPr="00C30629">
              <w:rPr>
                <w:rFonts w:ascii="Times New Roman" w:hAnsi="Times New Roman"/>
                <w:lang w:val="uk-UA"/>
              </w:rPr>
              <w:t xml:space="preserve">”,  </w:t>
            </w:r>
            <w:r w:rsidR="000F71F4" w:rsidRPr="00C30629">
              <w:rPr>
                <w:rFonts w:ascii="Times New Roman" w:hAnsi="Times New Roman"/>
                <w:lang w:val="uk-UA"/>
              </w:rPr>
              <w:t xml:space="preserve">“Загальне </w:t>
            </w:r>
            <w:r w:rsidRPr="00C30629">
              <w:rPr>
                <w:rFonts w:ascii="Times New Roman" w:hAnsi="Times New Roman"/>
                <w:lang w:val="uk-UA"/>
              </w:rPr>
              <w:t>мовознавство”, Знання та навички, отримані в результаті вивчення цих курсів, створюють необхідну базу для вивчення курсу “</w:t>
            </w:r>
            <w:r w:rsidR="000F71F4" w:rsidRPr="00C30629">
              <w:rPr>
                <w:rFonts w:ascii="Times New Roman" w:hAnsi="Times New Roman"/>
                <w:b/>
                <w:lang w:val="uk-UA"/>
              </w:rPr>
              <w:t xml:space="preserve"> Німецькомовний медійний дискурс: лексичні одиниці та граматична будова</w:t>
            </w:r>
            <w:r w:rsidR="000F71F4" w:rsidRPr="00C30629">
              <w:rPr>
                <w:rFonts w:ascii="Times New Roman" w:hAnsi="Times New Roman"/>
                <w:lang w:val="uk-UA"/>
              </w:rPr>
              <w:t xml:space="preserve"> </w:t>
            </w:r>
            <w:r w:rsidRPr="00C30629">
              <w:rPr>
                <w:rFonts w:ascii="Times New Roman" w:hAnsi="Times New Roman"/>
                <w:lang w:val="uk-UA"/>
              </w:rPr>
              <w:t>мають високий ступінь кореляції з ними.</w:t>
            </w:r>
          </w:p>
          <w:p w:rsidR="005D38B3" w:rsidRPr="005D38B3" w:rsidRDefault="005D38B3" w:rsidP="005D38B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Передумовами є</w:t>
            </w:r>
            <w:r w:rsidRPr="005D38B3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5D38B3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успішне опанування курсів </w:t>
            </w:r>
            <w:r w:rsidRPr="005D38B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із практики другої іноземної мови (німецької) рівня В1-В2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, основних теоретичних мовознавчих дисциплін, зіставної лексикології та фразеології німецької та української мов, лінгвокраїнознавства, практичної граматики другої іноземної мови, практичної стилістики української мови для перекладачів;</w:t>
            </w:r>
            <w:r w:rsidRPr="005D38B3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знання теоретичних основ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дисциплін, серед яких: вступ до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, теорія і практика усного та письмового перекладу з першої та другої іноземної мови.</w:t>
            </w:r>
          </w:p>
          <w:p w:rsidR="005D38B3" w:rsidRPr="005D38B3" w:rsidRDefault="005D38B3" w:rsidP="005D38B3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Студенти повинні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5D38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міти: у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досконалювати і розвивати свій інтелектуальний рівень; використовувати фундаментальні знання з філології в сфері професійної діяльності; володіти методологією філологічних досліджень; досягати функціонально-стилістичної адекватності перекладеного тексту, забезпечувати його смислову й комунікативну цілісність; редагувати перекладені тексти згідно з нормами мови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перекладу;організувати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власну професійну діяльність і самовдосконалення в галузі перекладу.</w:t>
            </w:r>
          </w:p>
          <w:p w:rsidR="005D38B3" w:rsidRPr="005D38B3" w:rsidRDefault="005D38B3" w:rsidP="005D38B3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 w:eastAsia="ru-RU"/>
              </w:rPr>
            </w:pPr>
          </w:p>
          <w:p w:rsidR="00271010" w:rsidRPr="00C30629" w:rsidRDefault="00271010" w:rsidP="000F71F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271010" w:rsidRPr="005D38B3" w:rsidTr="00684418">
        <w:tc>
          <w:tcPr>
            <w:tcW w:w="251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5D38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Метою вивчення навчальної дисципліни «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Фразеологічні одиниці в німецькій мові: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перекладознавчий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аспект</w:t>
            </w:r>
            <w:r w:rsidRPr="005D38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» </w:t>
            </w:r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першому (бакалаврському) рівні вищої освіти є підготовка спеціалістів, які володіють навичками професійного усного та письмового перекладу з німецької та української мов. Мета спецкурсу досягається шляхом вивчення теоретичного матеріалу з  лексикології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>фразеографії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сучасної німецької мови та виконання практичних завдань усного та письмового перекладу лексичних та фразеологічних одиниць та текстів різних типів дискурсу з німецької мови на українську та з української мови на німецьку</w:t>
            </w:r>
            <w:r w:rsidRPr="005D38B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271010" w:rsidRPr="00C30629" w:rsidRDefault="00271010" w:rsidP="001E22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271010" w:rsidRPr="005D38B3" w:rsidTr="00684418">
        <w:tc>
          <w:tcPr>
            <w:tcW w:w="1101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1E229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E2290">
              <w:rPr>
                <w:rFonts w:ascii="Times New Roman" w:hAnsi="Times New Roman"/>
                <w:b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5D38B3" w:rsidTr="00684418">
        <w:tc>
          <w:tcPr>
            <w:tcW w:w="11018" w:type="dxa"/>
            <w:gridSpan w:val="3"/>
          </w:tcPr>
          <w:p w:rsidR="00FC1ACF" w:rsidRDefault="00FC1ACF" w:rsidP="00FC1AC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D38B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:rsidR="005D38B3" w:rsidRPr="005D38B3" w:rsidRDefault="005D38B3" w:rsidP="005D38B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D38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 умов.</w:t>
            </w:r>
          </w:p>
          <w:p w:rsidR="005D38B3" w:rsidRPr="005D38B3" w:rsidRDefault="005D38B3" w:rsidP="005D3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38B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ЗАГАЛЬНІ КОМПЕТЕНТНОСТІ (ЗК) 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 5.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учитися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оволодівати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сучасними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 6.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пошуку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опрацювання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джерел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 9.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спілкуватися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іноземною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 10.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gram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абстрактного</w:t>
            </w:r>
            <w:proofErr w:type="gram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мислення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аналізу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синтезу. 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 11.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 15.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дотримуватись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принципів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академічної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доброчесності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здійснювати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творчий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науковий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пошук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.</w:t>
            </w: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ЗК 16.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розуміти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сутність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proofErr w:type="gram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іальну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значущість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майбутньої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професії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прогнозувати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перспективи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сфери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професійної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D38B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ФК 2.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професійній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мову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особливу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знакову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систему,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природу,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функції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ФК 6.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гнучко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ефективно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мову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вивчається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усній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письмовій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proofErr w:type="gram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жанрово-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стильових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різновидах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регістрах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офіційному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неофіційному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нейтральному), для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розв’язання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комунікативних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сферах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ФК 8.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оперувати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іальною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термінологією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розв’язання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професійних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ФК 15.</w:t>
            </w:r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методологічного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організаційного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правового </w:t>
            </w:r>
            <w:proofErr w:type="spellStart"/>
            <w:proofErr w:type="gram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ідґрунтя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необхідного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фахової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науково-дослідницької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презентації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науковій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спільноті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інтелектуальної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усвідомлення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значущості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практичної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філософії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сучасного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комунікативного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суспільства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. 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ФК 16.</w:t>
            </w:r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науково-лінгвістичного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мислення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розуміти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природу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лінгвістичних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явищ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процесів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орієнтуватися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науковій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лінгвістичній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верифікації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концепцій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ефективно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й компетентно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брати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участь в </w:t>
            </w:r>
            <w:proofErr w:type="spellStart"/>
            <w:proofErr w:type="gram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ізних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формах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конференціях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круглих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столах,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дискусіях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наукових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публікаціях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) в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філології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D38B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ФК 17.</w:t>
            </w:r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виявляти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ставити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вирішувати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проблеми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 опорою на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психологічних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закономірностей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психічного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функціонування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людини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міжособистісної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знаннями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фізіологічні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психічні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можливості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організму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5D38B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занять.</w:t>
            </w:r>
          </w:p>
          <w:p w:rsidR="005D38B3" w:rsidRPr="005D38B3" w:rsidRDefault="005D38B3" w:rsidP="005D38B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71010" w:rsidRPr="00B705C0" w:rsidRDefault="00271010" w:rsidP="00FC1A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684418">
        <w:tc>
          <w:tcPr>
            <w:tcW w:w="1101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FC1ACF" w:rsidRPr="005D38B3" w:rsidTr="00483F62">
        <w:tc>
          <w:tcPr>
            <w:tcW w:w="11018" w:type="dxa"/>
            <w:gridSpan w:val="3"/>
            <w:vAlign w:val="center"/>
          </w:tcPr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5D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Вільно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спілкуватися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фахівцями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нефахівцями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державною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</w:t>
            </w:r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мовами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міжкультурної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5D3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працювати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добирати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необхідну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фахової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критично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інтерпретувати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впорядковувати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3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свого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самоосвіти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6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комунікаційні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іалізованих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і проблем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7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Розуміти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ідходи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застосуванням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доцільних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інноваційних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підходів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10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Знати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вмі</w:t>
            </w:r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практичній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12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їхню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взаємодію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явища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зумовлюють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16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Знати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розуміти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філологічної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іалізації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професійній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17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інтерпретувати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розв’язання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 і проблем </w:t>
            </w:r>
            <w:proofErr w:type="gram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спеціалізованих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сферах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D38B3" w:rsidRPr="005D38B3" w:rsidRDefault="005D38B3" w:rsidP="005D38B3">
            <w:pPr>
              <w:pStyle w:val="TableParagraph"/>
              <w:ind w:left="0" w:right="18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21</w:t>
            </w:r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Доступно й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аргументовано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пояснювати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сутність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конкретних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філологічних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питань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власну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позицію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щодо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них як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фахівцям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так і широкому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загалу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вміти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презентувати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результати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своїх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досл</w:t>
            </w:r>
            <w:proofErr w:type="gram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іджень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державною та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англійською</w:t>
            </w:r>
            <w:proofErr w:type="spellEnd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мовами</w:t>
            </w:r>
            <w:proofErr w:type="spellEnd"/>
            <w:r w:rsidRPr="005D38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C1ACF" w:rsidRPr="002059BB" w:rsidRDefault="005D38B3" w:rsidP="005D38B3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r w:rsidRPr="005D38B3">
              <w:rPr>
                <w:rFonts w:ascii="Times New Roman" w:hAnsi="Times New Roman" w:cs="Times New Roman"/>
                <w:b/>
                <w:lang w:val="ru-RU"/>
              </w:rPr>
              <w:t>ПРН 23</w:t>
            </w:r>
            <w:r w:rsidRPr="005D38B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Володіти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системою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сучасних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лінгвокультурологічних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знань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переважно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специфіку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мовних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картин </w:t>
            </w:r>
            <w:proofErr w:type="spellStart"/>
            <w:proofErr w:type="gramStart"/>
            <w:r w:rsidRPr="005D38B3">
              <w:rPr>
                <w:rFonts w:ascii="Times New Roman" w:hAnsi="Times New Roman" w:cs="Times New Roman"/>
                <w:i/>
                <w:lang w:val="ru-RU"/>
              </w:rPr>
              <w:t>св</w:t>
            </w:r>
            <w:proofErr w:type="gramEnd"/>
            <w:r w:rsidRPr="005D38B3">
              <w:rPr>
                <w:rFonts w:ascii="Times New Roman" w:hAnsi="Times New Roman" w:cs="Times New Roman"/>
                <w:i/>
                <w:lang w:val="ru-RU"/>
              </w:rPr>
              <w:t>іту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відповідних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особливостей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мовної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поведінки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носіїв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англійської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другої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мов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застосовуючи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знання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експресивні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емоційні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логічні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засоби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мови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норми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терміновживання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техніку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мовлення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досягнення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запланованого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прагматичного результату й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організації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успішної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комунікації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професійній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 w:cs="Times New Roman"/>
                <w:i/>
                <w:lang w:val="ru-RU"/>
              </w:rPr>
              <w:t>діяльності</w:t>
            </w:r>
            <w:proofErr w:type="spellEnd"/>
            <w:r w:rsidRPr="005D38B3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</w:tr>
      <w:tr w:rsidR="00FC1ACF" w:rsidRPr="005D38B3" w:rsidTr="00684418">
        <w:tc>
          <w:tcPr>
            <w:tcW w:w="2518" w:type="dxa"/>
            <w:shd w:val="clear" w:color="auto" w:fill="99CCFF"/>
          </w:tcPr>
          <w:p w:rsidR="00FC1ACF" w:rsidRPr="00F827D1" w:rsidRDefault="00FC1ACF" w:rsidP="00FC1ACF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>Змістовий модуль 1.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Історичний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D38B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D38B3">
              <w:rPr>
                <w:rFonts w:ascii="Times New Roman" w:hAnsi="Times New Roman"/>
                <w:sz w:val="24"/>
                <w:szCs w:val="24"/>
              </w:rPr>
              <w:t>інгвістичний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словникового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складу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Шляхи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збагачення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лексики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Запозичення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перекладу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запозичених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слі</w:t>
            </w:r>
            <w:proofErr w:type="gramStart"/>
            <w:r w:rsidRPr="005D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Полісемія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омонімія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аспекті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двостороннього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перекладу.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Словотві</w:t>
            </w:r>
            <w:proofErr w:type="gramStart"/>
            <w:r w:rsidRPr="005D38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як один з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найбільш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продуктивних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шляхів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збагачення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словникового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складу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Зміна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значень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слі</w:t>
            </w:r>
            <w:proofErr w:type="gramStart"/>
            <w:r w:rsidRPr="005D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38B3">
              <w:rPr>
                <w:rFonts w:ascii="Times New Roman" w:hAnsi="Times New Roman"/>
                <w:sz w:val="24"/>
                <w:szCs w:val="24"/>
              </w:rPr>
              <w:t>як</w:t>
            </w:r>
            <w:proofErr w:type="gram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один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шляхів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якісного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збагачення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lastRenderedPageBreak/>
              <w:t>словникового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складу.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Неологізми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архаїзми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Проблематика перекладу. 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Лексикографічний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німецьких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українських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фразеологізмі</w:t>
            </w:r>
            <w:proofErr w:type="gramStart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5D38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Відтворення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власних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/>
                <w:sz w:val="24"/>
                <w:szCs w:val="24"/>
              </w:rPr>
              <w:t>назв</w:t>
            </w:r>
            <w:proofErr w:type="spellEnd"/>
            <w:proofErr w:type="gram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німецькій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українській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мовах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скорочень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Територіальна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D38B3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5D38B3">
              <w:rPr>
                <w:rFonts w:ascii="Times New Roman" w:hAnsi="Times New Roman"/>
                <w:sz w:val="24"/>
                <w:szCs w:val="24"/>
              </w:rPr>
              <w:t>іальна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диференціація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відтворення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перекладі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Безеквівалентна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лексика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реалії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перекладу.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трансформації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Причини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виникнення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трансформацій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трансформацій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трансформації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Типи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відношень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цілковите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спів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падіння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часткове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співпадіння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цілковита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розбіжність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Перекладацькі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відповідники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еквіваленти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варіанти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контекстуальні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замінники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Типи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трансформацій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прикладі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Прагматично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зумовлені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трансформації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німецько-українському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художньому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перекладі</w:t>
            </w:r>
            <w:proofErr w:type="spellEnd"/>
            <w:proofErr w:type="gramStart"/>
            <w:r w:rsidRPr="005D38B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7.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Класифікація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фразеологізмів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Парадигматичні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відношення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фразеології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Лексико-семантичні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фразеологічні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паралелі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Переклад  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фразеологічних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8.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Фразеологічні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одиниці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перекладі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передачі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38B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формальної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відповідності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еквівалентності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Способи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перекладу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фразеологічних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Переклад  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фразеологічних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9.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Пареміологічні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одиниці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німецької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Національне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забарвлення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оригіналу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і перекладу, проблема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відповідностей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розбіжностей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ними.  Переклад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пареміологічних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про текст.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Лексична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когезія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>. Тема-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рематичні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зв’язки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 Переклад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38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D38B3">
              <w:rPr>
                <w:rFonts w:ascii="Times New Roman" w:hAnsi="Times New Roman"/>
                <w:sz w:val="24"/>
                <w:szCs w:val="24"/>
              </w:rPr>
              <w:t>ізного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жанру.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5D38B3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перекладу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науково-технічного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дискурсу.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Лексичні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труднощі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науково-технічного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перекладу.</w:t>
            </w:r>
          </w:p>
          <w:p w:rsidR="005D38B3" w:rsidRPr="005D38B3" w:rsidRDefault="005D38B3" w:rsidP="005D38B3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A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E45A7C">
              <w:rPr>
                <w:rFonts w:ascii="Times New Roman" w:hAnsi="Times New Roman"/>
                <w:b/>
                <w:sz w:val="24"/>
                <w:szCs w:val="24"/>
              </w:rPr>
              <w:t xml:space="preserve"> 12.</w:t>
            </w:r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перекладу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38B3">
              <w:rPr>
                <w:rFonts w:ascii="Times New Roman" w:hAnsi="Times New Roman"/>
                <w:sz w:val="24"/>
                <w:szCs w:val="24"/>
              </w:rPr>
              <w:t>науково-технічного</w:t>
            </w:r>
            <w:proofErr w:type="spellEnd"/>
            <w:r w:rsidRPr="005D38B3">
              <w:rPr>
                <w:rFonts w:ascii="Times New Roman" w:hAnsi="Times New Roman"/>
                <w:sz w:val="24"/>
                <w:szCs w:val="24"/>
              </w:rPr>
              <w:t xml:space="preserve"> дискурсу. </w:t>
            </w:r>
          </w:p>
          <w:p w:rsidR="00E45A7C" w:rsidRDefault="005D38B3" w:rsidP="00E45A7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A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13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Специфіка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офіційно-ділового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стилю. </w:t>
            </w:r>
          </w:p>
          <w:p w:rsidR="005D38B3" w:rsidRPr="00E45A7C" w:rsidRDefault="005D38B3" w:rsidP="00E45A7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A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E45A7C">
              <w:rPr>
                <w:rFonts w:ascii="Times New Roman" w:hAnsi="Times New Roman"/>
                <w:b/>
                <w:sz w:val="24"/>
                <w:szCs w:val="24"/>
              </w:rPr>
              <w:t xml:space="preserve"> 14.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</w:rPr>
              <w:t>Термінологічний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</w:rPr>
              <w:t>апарат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</w:rPr>
              <w:t>офіційно-ділового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</w:rPr>
              <w:t xml:space="preserve"> дискурсу.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</w:rPr>
              <w:t>Тексти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</w:rPr>
              <w:t>офіційно-ділового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</w:rPr>
              <w:t xml:space="preserve"> дискурсу.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</w:rPr>
              <w:t>Відтворення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</w:rPr>
              <w:t>конструкцій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</w:rPr>
              <w:t>офіційного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</w:rPr>
              <w:t>листування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ACF" w:rsidRPr="00E45A7C" w:rsidRDefault="005D38B3" w:rsidP="00E45A7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15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Переклад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текстів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медійного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дискурсу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C1ACF"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C1ACF" w:rsidRPr="00E45A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End"/>
          </w:p>
          <w:p w:rsidR="00FC1ACF" w:rsidRPr="00684418" w:rsidRDefault="00FC1ACF" w:rsidP="00FC1ACF">
            <w:pPr>
              <w:pStyle w:val="a5"/>
              <w:tabs>
                <w:tab w:val="left" w:pos="2552"/>
              </w:tabs>
              <w:spacing w:after="0" w:line="240" w:lineRule="auto"/>
              <w:ind w:left="68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C1ACF" w:rsidRPr="00F827D1" w:rsidRDefault="00FC1ACF" w:rsidP="00FC1A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C1ACF" w:rsidRPr="00F827D1" w:rsidTr="00684418">
        <w:tc>
          <w:tcPr>
            <w:tcW w:w="11018" w:type="dxa"/>
            <w:gridSpan w:val="3"/>
            <w:shd w:val="clear" w:color="auto" w:fill="99CCFF"/>
          </w:tcPr>
          <w:p w:rsidR="00FC1ACF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Система оцінювання результатів навчання</w:t>
            </w:r>
          </w:p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C1ACF" w:rsidRPr="005D38B3" w:rsidTr="00684418">
        <w:tc>
          <w:tcPr>
            <w:tcW w:w="11018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7"/>
              <w:gridCol w:w="3377"/>
              <w:gridCol w:w="3378"/>
            </w:tblGrid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Програмні</w:t>
                  </w:r>
                  <w:proofErr w:type="spellEnd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результати</w:t>
                  </w:r>
                  <w:proofErr w:type="spellEnd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навчання</w:t>
                  </w:r>
                  <w:proofErr w:type="spellEnd"/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Методи</w:t>
                  </w:r>
                  <w:proofErr w:type="spellEnd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навчання</w:t>
                  </w:r>
                  <w:proofErr w:type="spellEnd"/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Форми</w:t>
                  </w:r>
                  <w:proofErr w:type="spellEnd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  <w:t>ПРН 1. Вільно спілкуватися із професійних питань із фахівцями та нефахівцями державною та іноземною(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  <w:t>ими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  <w:t xml:space="preserve">) мовами усно й письмово, використовувати їх для організації ефективної міжкультурної комунікації.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Загальнонаукові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методи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ізнання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: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аналіз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, синтез,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абстрагування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узагальнення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Загальнонаукові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методи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теоретичного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45A7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ru-RU"/>
                    </w:rPr>
                    <w:t>ізнання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: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аналіз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, синтез,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абстрагування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узагальнення</w:t>
                  </w:r>
                  <w:proofErr w:type="spellEnd"/>
                  <w:r w:rsidRPr="00E45A7C">
                    <w:rPr>
                      <w:rFonts w:ascii="Times New Roman" w:hAnsi="Times New Roman"/>
                      <w:iCs/>
                      <w:sz w:val="24"/>
                      <w:szCs w:val="24"/>
                      <w:lang w:val="ru-RU"/>
                    </w:rPr>
                    <w:t>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uk-UA" w:eastAsia="ru-RU"/>
                    </w:rPr>
                    <w:t xml:space="preserve">ПРН 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 класифікувати й систематизувати.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ru-RU"/>
                    </w:rPr>
                    <w:t>Технологія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особистісно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орієнтованого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навчання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  <w:t>Методи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інтерактивного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(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комунікативного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) і проблемного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навчання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.</w:t>
                  </w: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lastRenderedPageBreak/>
                    <w:t xml:space="preserve">ПРН 3.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Організовувати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процес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свого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навчання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й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самоосвіти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ПРН 6.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Використовувати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інформаційні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й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комунікаційні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технології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вирішення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складних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спец</w:t>
                  </w:r>
                  <w:proofErr w:type="gram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іалізованих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задач і проблем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професійної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ПРН 7.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Розуміти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основні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проблеми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філології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ідходи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до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розв’язання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із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застосуванням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доцільних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методів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інноваційних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підходів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ПРН 10. Знати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норми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літературної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мови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вмі</w:t>
                  </w:r>
                  <w:proofErr w:type="gram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</w:t>
                  </w:r>
                  <w:proofErr w:type="spellEnd"/>
                  <w:proofErr w:type="gram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застосовувати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у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практичній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lastRenderedPageBreak/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lastRenderedPageBreak/>
                    <w:t xml:space="preserve">ПРН 12.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Аналізувати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мовні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одиниці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визначати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їхню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взаємодію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характеризувати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мовні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явища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і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процеси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що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зумовлюють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ПРН 16. Знати й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розуміти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основні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поняття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теорії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концепції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обраної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філологічної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спец</w:t>
                  </w:r>
                  <w:proofErr w:type="gram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іалізації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уміти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застосовувати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у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професійній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lastRenderedPageBreak/>
                    <w:t xml:space="preserve">ПРН 17.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Збирати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аналізувати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систематизувати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й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інтерпретувати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факти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мови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й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мовлення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й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використовувати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їх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розв’язання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складних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задач і проблем </w:t>
                  </w:r>
                  <w:proofErr w:type="gram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у</w:t>
                  </w:r>
                  <w:proofErr w:type="gram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спеціалізованих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сферах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професійної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та/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або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навчання</w:t>
                  </w:r>
                  <w:proofErr w:type="spellEnd"/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.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Експрес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-контроль: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опитування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виконання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практичних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розробка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самостійного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опрацювання</w:t>
                  </w:r>
                  <w:proofErr w:type="spellEnd"/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Оцінювання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індивідуальних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завдань</w:t>
                  </w:r>
                  <w:proofErr w:type="spellEnd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студенті</w:t>
                  </w:r>
                  <w:proofErr w:type="gramStart"/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>ПРН 21.</w:t>
                  </w:r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Доступно й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аргументовано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пояснювати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сутність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конкретних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філологічних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питань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і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власну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позицію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щодо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них як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фахівцям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, так і широкому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загалу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;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вміти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презентувати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результати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своїх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досл</w:t>
                  </w:r>
                  <w:proofErr w:type="gram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іджень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державною та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англійською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мовами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.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Підсумковий контроль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45A7C" w:rsidRPr="00E45A7C" w:rsidTr="00EC13A2"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</w:pP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ПРН 23.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Володіти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системою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сучасних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лінгвокультурологічних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знань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переважно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про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специфіку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мовних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картин </w:t>
                  </w:r>
                  <w:proofErr w:type="spellStart"/>
                  <w:proofErr w:type="gram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св</w:t>
                  </w:r>
                  <w:proofErr w:type="gram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іту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і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відповідних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особливостей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мовної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поведінки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носіїв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англійської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другої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іноземної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мов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застосовуючи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знання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про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експресивні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емоційні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логічні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засоби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мови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норми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терміновживання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техніку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мовлення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досягнення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запланованого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прагматичного результату й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організації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успішної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комунікації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у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професійній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діяльності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color w:val="000000"/>
                      <w:szCs w:val="24"/>
                      <w:lang w:val="ru-RU" w:eastAsia="ru-RU"/>
                    </w:rPr>
                    <w:t>.</w:t>
                  </w:r>
                  <w:r w:rsidRPr="00E45A7C">
                    <w:rPr>
                      <w:rFonts w:ascii="Times New Roman" w:hAnsi="Times New Roman"/>
                      <w:color w:val="000000"/>
                      <w:szCs w:val="24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3377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Загальнонаукові методи </w:t>
                  </w:r>
                  <w:proofErr w:type="spellStart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теоретич</w:t>
                  </w:r>
                  <w:proofErr w:type="spellEnd"/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-ного пізнання:</w:t>
                  </w: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Методи навчання: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групова дискусія,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uk-UA"/>
                    </w:rPr>
                    <w:t>– ситуаційний аналіз (кейс-метод), дослідження ситуації професійної взаємодії з використанням різних методів (аналіз тексті різного типу дискурсу), презентація результатів виконаних досліджень.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3378" w:type="dxa"/>
                </w:tcPr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</w:t>
                  </w: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E45A7C" w:rsidRPr="00E45A7C" w:rsidRDefault="00E45A7C" w:rsidP="00E45A7C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E45A7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</w:tr>
          </w:tbl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C1ACF" w:rsidRPr="005D38B3" w:rsidTr="00684418">
        <w:tc>
          <w:tcPr>
            <w:tcW w:w="11018" w:type="dxa"/>
            <w:gridSpan w:val="3"/>
          </w:tcPr>
          <w:p w:rsidR="00FC1ACF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FC1ACF" w:rsidRPr="00F827D1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i/>
                <w:sz w:val="24"/>
                <w:lang w:val="uk-UA"/>
              </w:rPr>
              <w:t>Поточний контроль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успішності </w:t>
            </w:r>
            <w:r>
              <w:rPr>
                <w:rFonts w:ascii="Times New Roman" w:hAnsi="Times New Roman"/>
                <w:sz w:val="24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здійснюється протягом семестру. Під час опанування навчальним матеріалом оцінюється аудиторна, самостійна робота та інші види навчальної діяльності аспіранта. 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Поточний контроль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>проводиться на кожному семінарському занятті та за результатами виконання завдань самостійної роботи. Він передбачає оцінювання теоретичної підготовки і практичних навичок із зазначеної теми (у тому числі самостійно опрацьованого матеріалу) під час роботи на семінарських заняттях.</w:t>
            </w:r>
          </w:p>
          <w:p w:rsidR="00FC1ACF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Поточне оцінювання всіх видів навчальної діяльності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здійснюється </w:t>
            </w:r>
            <w:r w:rsidRPr="00F827D1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за  накопичувальною </w:t>
            </w:r>
            <w:r w:rsidRPr="00F827D1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lastRenderedPageBreak/>
              <w:t xml:space="preserve">системою. </w:t>
            </w:r>
          </w:p>
          <w:p w:rsidR="00FC1ACF" w:rsidRPr="00F827D1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Система оцінювання результатів навчання аспірантів</w:t>
            </w: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з дисципліни «</w:t>
            </w:r>
            <w:r w:rsidRPr="00E95890">
              <w:rPr>
                <w:rFonts w:ascii="Times New Roman" w:hAnsi="Times New Roman"/>
                <w:b/>
                <w:lang w:val="uk-UA"/>
              </w:rPr>
              <w:t xml:space="preserve"> Німецькомовний медійний дискурс: лексичні одиниці та граматична будова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299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95"/>
              <w:gridCol w:w="327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9943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</w:tblGrid>
            <w:tr w:rsidR="00FC1ACF" w:rsidRPr="005D38B3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Види навчальної діяльності </w:t>
                  </w:r>
                  <w:r>
                    <w:rPr>
                      <w:rFonts w:ascii="Times New Roman" w:hAnsi="Times New Roman"/>
                      <w:lang w:val="uk-UA"/>
                    </w:rPr>
                    <w:t>студента</w:t>
                  </w:r>
                </w:p>
              </w:tc>
              <w:tc>
                <w:tcPr>
                  <w:tcW w:w="330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Аудиторна навчальна робота </w:t>
                  </w:r>
                </w:p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(Теми)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Самостійна навчальна робота 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К</w:t>
                  </w:r>
                  <w:r w:rsidRPr="00E507E0">
                    <w:rPr>
                      <w:rFonts w:ascii="Times New Roman" w:hAnsi="Times New Roman"/>
                      <w:lang w:val="uk-UA"/>
                    </w:rPr>
                    <w:t>онтрольна робота</w:t>
                  </w:r>
                </w:p>
              </w:tc>
            </w:tr>
            <w:tr w:rsidR="00FC1ACF" w:rsidRPr="005D38B3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733482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Лексико-граматичний аналіз текст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у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FC1ACF" w:rsidRPr="005D38B3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Максимальна кількість балів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60</w:t>
                  </w:r>
                </w:p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50</w:t>
                  </w:r>
                </w:p>
              </w:tc>
            </w:tr>
          </w:tbl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1ACF" w:rsidRPr="00E507E0" w:rsidRDefault="00FC1ACF" w:rsidP="00FC1A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 контрольної роботи з дисципліни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95890">
              <w:rPr>
                <w:rFonts w:ascii="Times New Roman" w:hAnsi="Times New Roman"/>
                <w:b/>
                <w:lang w:val="uk-UA"/>
              </w:rPr>
              <w:t>Німецькомовний медійний дискурс: лексичні одиниці та граматична будова</w:t>
            </w:r>
            <w:r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FC1ACF" w:rsidRPr="00E507E0" w:rsidRDefault="00FC1ACF" w:rsidP="00FC1ACF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онтрольна робота включає 2 завдання, з яких кожне оцінюється за наступними </w:t>
            </w:r>
            <w:r w:rsidRPr="00E507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критеріями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Відповідь на кожне завдання модульної контрольної роботи оцінюється за 25-бальною шкалою. 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23-25 балів виставляються за вичерпну, змістовну, логічну та послідовну за викладом відповідь, що містить самостійні судження та демонструє здатність творчого розв’язання завдання.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18-22 бали виставляються за умови, що відповідь правильна, повна, змістовна, послідовна, але містить незначні помилки у викладі теоретичного матеріалу і практичного розв’язання проблеми, рівень самостійності суджень недостатній.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15-17 балів виставляються за умови, що відповідь неповна, схематична, є неточності і помилки в розкритті проблеми, рівень самостійності суджень недостатній.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14 балів і менше виставляється за умови відсутності вичерпаної відповіді на питання, наявності значної кількості неточностей і фактологічних помилок, що свідчить про поверховість знань аспіранта.</w:t>
            </w:r>
          </w:p>
          <w:p w:rsidR="00FC1ACF" w:rsidRPr="00E507E0" w:rsidRDefault="00FC1ACF" w:rsidP="00FC1ACF">
            <w:pPr>
              <w:tabs>
                <w:tab w:val="left" w:pos="567"/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Виконане завдання має включати такі складники: обґрунтування актуальності, викладення змісту, висновки.</w:t>
            </w:r>
          </w:p>
          <w:p w:rsidR="00FC1ACF" w:rsidRPr="00E507E0" w:rsidRDefault="00FC1ACF" w:rsidP="00FC1ACF">
            <w:pPr>
              <w:tabs>
                <w:tab w:val="left" w:pos="720"/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Максималь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кількість балів за виконану 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КР становить 50.</w:t>
            </w:r>
          </w:p>
          <w:p w:rsidR="00FC1ACF" w:rsidRPr="00E507E0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rStyle w:val="a9"/>
                <w:b w:val="0"/>
                <w:bCs/>
                <w:i/>
                <w:sz w:val="24"/>
              </w:rPr>
            </w:pPr>
          </w:p>
          <w:p w:rsidR="00FC1ACF" w:rsidRPr="00E507E0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rStyle w:val="a9"/>
                <w:b w:val="0"/>
                <w:bCs/>
                <w:i/>
                <w:sz w:val="24"/>
              </w:rPr>
              <w:t>Підсумковий (семестровий) контроль</w:t>
            </w:r>
            <w:r w:rsidRPr="00E507E0">
              <w:rPr>
                <w:rStyle w:val="a9"/>
                <w:bCs/>
                <w:i/>
                <w:sz w:val="24"/>
              </w:rPr>
              <w:t xml:space="preserve"> </w:t>
            </w:r>
            <w:r w:rsidRPr="00E507E0">
              <w:rPr>
                <w:rStyle w:val="a8"/>
                <w:sz w:val="24"/>
              </w:rPr>
              <w:t>проводиться з метою оцінювання результатів навчання аспірантів на завершальному етапі вивчення дисципліни.</w:t>
            </w: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2"/>
              <w:gridCol w:w="2968"/>
              <w:gridCol w:w="3501"/>
              <w:gridCol w:w="2439"/>
            </w:tblGrid>
            <w:tr w:rsidR="00FC1ACF" w:rsidRPr="00F827D1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  <w:t>№ з/п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Форма підсумкового контролю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Види навчальної діяльності аспіранта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Максимальна кількість балів</w:t>
                  </w:r>
                </w:p>
              </w:tc>
            </w:tr>
            <w:tr w:rsidR="00FC1ACF" w:rsidRPr="005D38B3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Передбачений підсумковий контроль –</w:t>
                  </w:r>
                  <w:r w:rsidRPr="00F827D1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залік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 xml:space="preserve">1. Аудиторна та самостійна навчальна робота 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студента.</w:t>
                  </w:r>
                </w:p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2. Контрольна робота (</w:t>
                  </w: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КР)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.</w:t>
                  </w:r>
                </w:p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3. Залік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:rsidR="00FC1ACF" w:rsidRPr="00F827D1" w:rsidRDefault="00FC1ACF" w:rsidP="005D38B3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FC1ACF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  <w:p w:rsidR="00FC1ACF" w:rsidRPr="00F827D1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F827D1">
              <w:rPr>
                <w:lang w:val="uk-UA"/>
              </w:rPr>
              <w:t>Семестровий контроль з навчальної дисципліни «</w:t>
            </w:r>
            <w:r w:rsidRPr="00E95890">
              <w:rPr>
                <w:b/>
                <w:lang w:val="uk-UA"/>
              </w:rPr>
              <w:t>Німецькомовний медійний дискурс: лексичні одиниці та граматична будова</w:t>
            </w:r>
            <w:r>
              <w:rPr>
                <w:lang w:val="uk-UA"/>
              </w:rPr>
              <w:t xml:space="preserve"> </w:t>
            </w:r>
            <w:r w:rsidRPr="00F827D1">
              <w:rPr>
                <w:lang w:val="uk-UA"/>
              </w:rPr>
              <w:t xml:space="preserve">проводиться у формі </w:t>
            </w:r>
            <w:r>
              <w:rPr>
                <w:i/>
                <w:lang w:val="uk-UA"/>
              </w:rPr>
              <w:t>заліку</w:t>
            </w:r>
            <w:r w:rsidRPr="00F827D1">
              <w:rPr>
                <w:lang w:val="uk-UA"/>
              </w:rPr>
              <w:t xml:space="preserve"> за обсягом усього навчального матеріалу, визначеного робочою програмою навчальної дисципліни, і в терміни, встановлені навчальним планом і графіком навчального процесу.</w:t>
            </w:r>
          </w:p>
          <w:p w:rsidR="00FC1ACF" w:rsidRPr="00F827D1" w:rsidRDefault="00FC1ACF" w:rsidP="00FC1AC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На заліку екзаменатор виставляє семестровий рейтинговий бал, оцінку за залі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к “зараховано / не зараховано”.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FC1ACF" w:rsidRPr="00AC46DC" w:rsidRDefault="00FC1ACF" w:rsidP="00FC1AC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1ACF" w:rsidRPr="005D38B3" w:rsidTr="00684418">
        <w:trPr>
          <w:gridAfter w:val="1"/>
          <w:wAfter w:w="7" w:type="dxa"/>
        </w:trPr>
        <w:tc>
          <w:tcPr>
            <w:tcW w:w="2518" w:type="dxa"/>
            <w:shd w:val="clear" w:color="auto" w:fill="99CCFF"/>
          </w:tcPr>
          <w:p w:rsidR="00FC1ACF" w:rsidRPr="00AC46DC" w:rsidRDefault="00FC1ACF" w:rsidP="00FC1ACF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FC1ACF" w:rsidRPr="00AC46DC" w:rsidRDefault="00FC1ACF" w:rsidP="00FC1ACF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FC1ACF" w:rsidRPr="00AC46DC" w:rsidRDefault="00FC1ACF" w:rsidP="00FC1ACF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Незалежно від форми здобуття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другого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рівня вищої освіти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FC1ACF" w:rsidRPr="00AC46DC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денної форми здобуття вищої освіти через поважні причини (хвороба, надзвичайні сімейні обставини тощо) не можуть відвідувати </w:t>
            </w:r>
            <w:r w:rsidRPr="00AC46DC">
              <w:rPr>
                <w:szCs w:val="28"/>
                <w:lang w:val="uk-UA"/>
              </w:rPr>
              <w:lastRenderedPageBreak/>
              <w:t xml:space="preserve">певну кількість аудиторних занять, вони мають їх відпрацювати. Процедуру та форми терміни відпрацювання </w:t>
            </w:r>
            <w:r>
              <w:rPr>
                <w:szCs w:val="28"/>
                <w:lang w:val="uk-UA"/>
              </w:rPr>
              <w:t>студентами</w:t>
            </w:r>
            <w:r w:rsidRPr="00AC46DC">
              <w:rPr>
                <w:szCs w:val="28"/>
                <w:lang w:val="uk-UA"/>
              </w:rPr>
              <w:t xml:space="preserve"> здобуття освіти пропущених занять із навчальної дисципліни визначає кафедра </w:t>
            </w:r>
            <w:r>
              <w:rPr>
                <w:szCs w:val="28"/>
                <w:lang w:val="uk-UA"/>
              </w:rPr>
              <w:t xml:space="preserve">германської філології і </w:t>
            </w:r>
            <w:r w:rsidRPr="00AC46DC">
              <w:rPr>
                <w:szCs w:val="28"/>
                <w:lang w:val="uk-UA"/>
              </w:rPr>
              <w:t>доводить до відома</w:t>
            </w:r>
            <w:r>
              <w:rPr>
                <w:szCs w:val="28"/>
                <w:lang w:val="uk-UA"/>
              </w:rPr>
              <w:t xml:space="preserve"> студентів</w:t>
            </w:r>
            <w:r w:rsidRPr="00AC46DC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:rsidR="00FC1ACF" w:rsidRPr="00AC46DC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lang w:val="uk-UA"/>
              </w:rPr>
              <w:t>Під час роботи над письмовими роботами не допустимо порушення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ифікація результатів наукової чи навчальної роботи;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FC1ACF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:rsidR="00FC1ACF" w:rsidRPr="00AC46DC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C1ACF" w:rsidRPr="00F827D1" w:rsidTr="00684418">
        <w:trPr>
          <w:gridAfter w:val="1"/>
          <w:wAfter w:w="7" w:type="dxa"/>
        </w:trPr>
        <w:tc>
          <w:tcPr>
            <w:tcW w:w="2518" w:type="dxa"/>
            <w:shd w:val="clear" w:color="auto" w:fill="99CCFF"/>
          </w:tcPr>
          <w:p w:rsidR="00FC1ACF" w:rsidRPr="00F827D1" w:rsidRDefault="00FC1ACF" w:rsidP="00FC1ACF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E45A7C" w:rsidRPr="00E45A7C" w:rsidRDefault="00E45A7C" w:rsidP="00E45A7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Основні</w:t>
            </w:r>
            <w:proofErr w:type="spellEnd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Білозерська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 П.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Термінологія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переклад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філологічного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напряму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[ уклад. 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П.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Білозерська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Н. 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Возненко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С. 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Радецька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].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Вінниця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2010. 232 с. 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Гінка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Б.І.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Лексикологія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німецької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Лекції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семінари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: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Навчальний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/ 3-тє вид.,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переробл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. і доп.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Тернопіль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: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Навчальна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</w:t>
            </w:r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книга</w:t>
            </w:r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– </w:t>
            </w:r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Богдан</w:t>
            </w:r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, 2010. 416 </w:t>
            </w:r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с</w:t>
            </w:r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німецька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зразок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ЗМІ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[уклад. М. М.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Гавриш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 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Капуш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.] –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КНЕУ, 2008. 234 с.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німецька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практикум для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спеціальностей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[ уклад. 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М.М.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Гавриш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О.О.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Гавриш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А.В.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Капуш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ін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.].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КНЕУ, 2014. 214 с.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Корунець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І. 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практика перекладу :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ідручник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Вінниця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2003. 448 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c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Левицький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В.В.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Лексикологія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німецької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: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Вінниця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Нова книга, 2014. 392 с.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Мироненко Т. С.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практика перекладу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студентів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факультету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перекладачів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Вид. центр КНЛУ, 2013. 172 с. 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Мироненко Т. С.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 перекладу з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німецької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Вид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ентр КНЛУ, 2017. 247 с. 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Міщенко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А.Л.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перекладу до курсу ТПП. –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Вінниця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Вид-во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2003. 200 с.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Паславська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А. Практикум з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лексикології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німецької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Синєгуб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Методологічні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засади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перекладацького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тексту (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Methodologische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Ansätze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der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übersetzungsrelevanten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Textanalyse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Вид.центр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КНЛУ, 2013. 151 с.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Синєгуб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В.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практика перекладу з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німецької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Вид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ентр  КНЛУ, 2018. 272 с.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Теорія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і практика перекладу (</w:t>
            </w:r>
            <w:proofErr w:type="spell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німецька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мова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) : </w:t>
            </w:r>
            <w:proofErr w:type="spellStart"/>
            <w:proofErr w:type="gram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ідр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студ. ВНЗ / [уклад.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Кияк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Т.Р., </w:t>
            </w:r>
            <w:proofErr w:type="spellStart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Огуй</w:t>
            </w:r>
            <w:proofErr w:type="spellEnd"/>
            <w:r w:rsidRPr="00E45A7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О.Д., Науменко А.М.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].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Вінниця</w:t>
            </w:r>
            <w:proofErr w:type="spellEnd"/>
            <w:proofErr w:type="gram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Нова книга, 2006. 592 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c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45A7C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Kautz Ulrich. Das Handbuch Didaktik des Übersetzens und Dolmetschens. M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ü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nchen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Iudicium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2002. 640 </w:t>
            </w: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S.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Koller Werner. Einführung in die Übersetzungswissenschaft.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Wiebelsheim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: Quelle &amp; Meyer Verlag, 2004. 343 S.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Kußmaul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Paul. Kreatives Übersetzen. Tübingen 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Stauffenburg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Verlag, 2000. 215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S.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Kühn I. Lexikologie. Eine Einführung. Tübingen : Max Niemeyer Verlag, 1994. 178 S.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Nord Chr. Einführung in das funktionale Übersetzen. Tübingen : Francke Verlag, 1993. 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315 S.</w:t>
            </w:r>
          </w:p>
          <w:p w:rsidR="00E45A7C" w:rsidRPr="00E45A7C" w:rsidRDefault="00E45A7C" w:rsidP="00E45A7C">
            <w:pPr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Oguy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O. D. Lexikologie der deutschen Sprache. </w:t>
            </w:r>
            <w:proofErr w:type="spellStart"/>
            <w:proofErr w:type="gram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Winnyts’a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:</w:t>
            </w:r>
            <w:proofErr w:type="gram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Nowa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knyha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, 2003. 416 S.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Reiß, Katharina. Grundfragen der Übersetzungswissenschaft. Wien, </w:t>
            </w:r>
            <w:r w:rsidRPr="00E45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WUV-Universitätsverlag,</w:t>
            </w: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 </w:t>
            </w:r>
            <w:r w:rsidRPr="00E45A7C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  <w:lang w:val="de-DE"/>
              </w:rPr>
              <w:t>1995</w:t>
            </w:r>
            <w:r w:rsidRPr="00E45A7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r w:rsidRPr="00E45A7C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132 S.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Schippan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Th</w:t>
            </w:r>
            <w:proofErr w:type="spellEnd"/>
            <w:r w:rsidRPr="00E45A7C">
              <w:rPr>
                <w:rFonts w:ascii="Times New Roman" w:hAnsi="Times New Roman"/>
                <w:sz w:val="23"/>
                <w:szCs w:val="23"/>
                <w:lang w:val="de-DE"/>
              </w:rPr>
              <w:t>. Lexikologie der deutschen Gegenwartssprache. Tübingen : Max Niemeyer Verlag 1996. 306 S.</w:t>
            </w:r>
          </w:p>
          <w:p w:rsidR="00E45A7C" w:rsidRPr="00E45A7C" w:rsidRDefault="00E45A7C" w:rsidP="00E45A7C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sz w:val="23"/>
                <w:szCs w:val="23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Stolze R. Die Fachübersetzung. Eine Einführung. – Tübingen: Gunter Narr Verlag, 1999. – S. 249. – </w:t>
            </w:r>
          </w:p>
          <w:p w:rsidR="00E45A7C" w:rsidRPr="00E45A7C" w:rsidRDefault="00E45A7C" w:rsidP="00E45A7C">
            <w:pPr>
              <w:spacing w:after="200" w:line="276" w:lineRule="auto"/>
              <w:ind w:left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E45A7C" w:rsidRPr="00E45A7C" w:rsidRDefault="00E45A7C" w:rsidP="00E45A7C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11. </w:t>
            </w:r>
            <w:proofErr w:type="spellStart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Довідкові</w:t>
            </w:r>
            <w:proofErr w:type="spellEnd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ресурси</w:t>
            </w:r>
            <w:proofErr w:type="spellEnd"/>
            <w:r w:rsidRPr="00E45A7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13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Словник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45A7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>Академічний</w:t>
            </w:r>
            <w:proofErr w:type="spellEnd"/>
            <w:r w:rsidRPr="00E45A7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>тлумачний</w:t>
            </w:r>
            <w:proofErr w:type="spellEnd"/>
            <w:r w:rsidRPr="00E45A7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словник. </w:t>
            </w:r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URL: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E45A7C">
                <w:rPr>
                  <w:rFonts w:ascii="Times New Roman" w:hAnsi="Times New Roman"/>
                  <w:sz w:val="24"/>
                  <w:szCs w:val="24"/>
                </w:rPr>
                <w:t>www</w:t>
              </w:r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45A7C">
                <w:rPr>
                  <w:rFonts w:ascii="Times New Roman" w:hAnsi="Times New Roman"/>
                  <w:sz w:val="24"/>
                  <w:szCs w:val="24"/>
                </w:rPr>
                <w:t>sum</w:t>
              </w:r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45A7C">
                <w:rPr>
                  <w:rFonts w:ascii="Times New Roman" w:hAnsi="Times New Roman"/>
                  <w:sz w:val="24"/>
                  <w:szCs w:val="24"/>
                </w:rPr>
                <w:t>in</w:t>
              </w:r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45A7C">
                <w:rPr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13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Українські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словники та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>довідники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URL: </w:t>
            </w:r>
            <w:hyperlink r:id="rId7" w:history="1">
              <w:r w:rsidRPr="00E45A7C">
                <w:rPr>
                  <w:rFonts w:ascii="Times New Roman" w:hAnsi="Times New Roman"/>
                  <w:sz w:val="24"/>
                  <w:szCs w:val="24"/>
                </w:rPr>
                <w:t>www</w:t>
              </w:r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45A7C">
                <w:rPr>
                  <w:rFonts w:ascii="Times New Roman" w:hAnsi="Times New Roman"/>
                  <w:sz w:val="24"/>
                  <w:szCs w:val="24"/>
                </w:rPr>
                <w:t>slovopedia</w:t>
              </w:r>
              <w:proofErr w:type="spellEnd"/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E45A7C">
                <w:rPr>
                  <w:rFonts w:ascii="Times New Roman" w:hAnsi="Times New Roman"/>
                  <w:sz w:val="24"/>
                  <w:szCs w:val="24"/>
                </w:rPr>
                <w:t>org</w:t>
              </w:r>
              <w:r w:rsidRPr="00E45A7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45A7C">
                <w:rPr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Agricola E. Wörter und Wendungen. Wörterbuch zum deutschen Sprachgebrauch. Leipzig, Bibliographisches Institut, 1977. 818 S.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Havris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’ W,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Proroczenko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O. Deutsch-Ukrainisches Phraseologisches Wörterbuch. Kiew :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Radjanska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Schkola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, 1985. 382 S.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Gabler Wirtschaftslexikon [online]: https://wirtschaftslexikon.gabler.de/ 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Eurostat</w:t>
            </w:r>
            <w:proofErr w:type="spellEnd"/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: Glossar Wirtschaft und Finanzen [online]: https://ec.europa.eu/eurostat/statistics-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45A7C">
              <w:rPr>
                <w:rFonts w:ascii="Times New Roman" w:hAnsi="Times New Roman"/>
                <w:sz w:val="24"/>
                <w:szCs w:val="24"/>
              </w:rPr>
              <w:t xml:space="preserve">explained/index.php?title=Category:Economy_and_finance_glossary/de&amp;oldid=9712DUDEN 5. </w:t>
            </w: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Fremdwörterbuch. Mannheim : Duden-Verlag, 2005. 1104 S.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DUDEN 8: Sinn- und Sachverwandte Wörter.  Mannheim : Duden-Verlag, 1985. 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>DUDEN 10: Bedeutungswörterbuch. Wortbildung und Wortschatz. Mannheim : Duden-Verlag, 2002. 1104 S.</w:t>
            </w:r>
          </w:p>
          <w:p w:rsidR="00E45A7C" w:rsidRPr="00E45A7C" w:rsidRDefault="00E45A7C" w:rsidP="00E45A7C">
            <w:pPr>
              <w:numPr>
                <w:ilvl w:val="1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45A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DUDEN 11: Redewendungen. Mannheim : Duden-Verlag, 2002. 960 S.</w:t>
            </w:r>
          </w:p>
          <w:p w:rsidR="00E45A7C" w:rsidRPr="00E45A7C" w:rsidRDefault="00E45A7C" w:rsidP="00E45A7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FC1ACF" w:rsidRPr="000D5B5C" w:rsidRDefault="00FC1ACF" w:rsidP="00E45A7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FC1ACF" w:rsidRPr="00F827D1" w:rsidTr="00684418">
        <w:trPr>
          <w:gridAfter w:val="1"/>
          <w:wAfter w:w="7" w:type="dxa"/>
        </w:trPr>
        <w:tc>
          <w:tcPr>
            <w:tcW w:w="11011" w:type="dxa"/>
            <w:gridSpan w:val="2"/>
            <w:shd w:val="clear" w:color="auto" w:fill="99CCFF"/>
          </w:tcPr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Pr="00F9550A" w:rsidRDefault="00FC1ACF" w:rsidP="00FC1ACF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FC1ACF" w:rsidRPr="00B705C0" w:rsidTr="00684418">
        <w:tc>
          <w:tcPr>
            <w:tcW w:w="11018" w:type="dxa"/>
            <w:gridSpan w:val="3"/>
          </w:tcPr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F827D1" w:rsidRDefault="00271010" w:rsidP="00143161">
      <w:pPr>
        <w:pStyle w:val="Default"/>
        <w:rPr>
          <w:lang w:val="uk-UA"/>
        </w:rPr>
      </w:pPr>
    </w:p>
    <w:p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BCE"/>
    <w:multiLevelType w:val="hybridMultilevel"/>
    <w:tmpl w:val="5F54B648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CE6137"/>
    <w:multiLevelType w:val="hybridMultilevel"/>
    <w:tmpl w:val="9758BAE8"/>
    <w:lvl w:ilvl="0" w:tplc="921A7280">
      <w:start w:val="3"/>
      <w:numFmt w:val="bullet"/>
      <w:lvlText w:val="-"/>
      <w:lvlJc w:val="left"/>
      <w:pPr>
        <w:ind w:left="1080" w:hanging="360"/>
      </w:pPr>
      <w:rPr>
        <w:rFonts w:ascii="TimesNewRomanPSMT" w:eastAsia="MS Mincho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DA41E7"/>
    <w:multiLevelType w:val="multilevel"/>
    <w:tmpl w:val="E43A3C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sz w:val="22"/>
      </w:rPr>
    </w:lvl>
  </w:abstractNum>
  <w:abstractNum w:abstractNumId="8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14B11"/>
    <w:multiLevelType w:val="hybridMultilevel"/>
    <w:tmpl w:val="1888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2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3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C0332D9"/>
    <w:multiLevelType w:val="hybridMultilevel"/>
    <w:tmpl w:val="DA98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83EF5"/>
    <w:multiLevelType w:val="multilevel"/>
    <w:tmpl w:val="230CF522"/>
    <w:lvl w:ilvl="0">
      <w:start w:val="2"/>
      <w:numFmt w:val="decimal"/>
      <w:lvlText w:val="%1."/>
      <w:lvlJc w:val="left"/>
      <w:pPr>
        <w:ind w:left="62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88" w:hanging="405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986" w:hanging="720"/>
      </w:pPr>
      <w:rPr>
        <w:rFonts w:ascii="Times New Roman" w:hAnsi="Times New Roman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986" w:hanging="72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346" w:hanging="1080"/>
      </w:pPr>
      <w:rPr>
        <w:rFonts w:ascii="Times New Roman" w:hAnsi="Times New Roman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346" w:hanging="1080"/>
      </w:pPr>
      <w:rPr>
        <w:rFonts w:ascii="Times New Roman" w:hAnsi="Times New Roman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706" w:hanging="1440"/>
      </w:pPr>
      <w:rPr>
        <w:rFonts w:ascii="Times New Roman" w:hAnsi="Times New Roman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06" w:hanging="1440"/>
      </w:pPr>
      <w:rPr>
        <w:rFonts w:ascii="Times New Roman" w:hAnsi="Times New Roman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66" w:hanging="1800"/>
      </w:pPr>
      <w:rPr>
        <w:rFonts w:ascii="Times New Roman" w:hAnsi="Times New Roman" w:hint="default"/>
        <w:b/>
        <w:sz w:val="22"/>
      </w:rPr>
    </w:lvl>
  </w:abstractNum>
  <w:abstractNum w:abstractNumId="16">
    <w:nsid w:val="74095965"/>
    <w:multiLevelType w:val="hybridMultilevel"/>
    <w:tmpl w:val="157CB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14"/>
  </w:num>
  <w:num w:numId="17">
    <w:abstractNumId w:val="7"/>
  </w:num>
  <w:num w:numId="18">
    <w:abstractNumId w:val="13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5259E"/>
    <w:rsid w:val="000D5B5C"/>
    <w:rsid w:val="000F71F4"/>
    <w:rsid w:val="00106229"/>
    <w:rsid w:val="00117B7B"/>
    <w:rsid w:val="001342A4"/>
    <w:rsid w:val="00141C3C"/>
    <w:rsid w:val="00143161"/>
    <w:rsid w:val="00146A3B"/>
    <w:rsid w:val="00164157"/>
    <w:rsid w:val="001844BD"/>
    <w:rsid w:val="001A1611"/>
    <w:rsid w:val="001E2290"/>
    <w:rsid w:val="002224E3"/>
    <w:rsid w:val="002346D0"/>
    <w:rsid w:val="0025656D"/>
    <w:rsid w:val="00256D8E"/>
    <w:rsid w:val="002624AB"/>
    <w:rsid w:val="00271010"/>
    <w:rsid w:val="002C624F"/>
    <w:rsid w:val="00304FC1"/>
    <w:rsid w:val="00381334"/>
    <w:rsid w:val="003B23C8"/>
    <w:rsid w:val="003B7DC7"/>
    <w:rsid w:val="003C784F"/>
    <w:rsid w:val="003D5992"/>
    <w:rsid w:val="00421ED0"/>
    <w:rsid w:val="00471F27"/>
    <w:rsid w:val="00484D6C"/>
    <w:rsid w:val="005D38B3"/>
    <w:rsid w:val="005D51EA"/>
    <w:rsid w:val="005F3F4F"/>
    <w:rsid w:val="006016D3"/>
    <w:rsid w:val="00626FDC"/>
    <w:rsid w:val="00640BA0"/>
    <w:rsid w:val="0066107A"/>
    <w:rsid w:val="00684418"/>
    <w:rsid w:val="006A4A82"/>
    <w:rsid w:val="006A6C8F"/>
    <w:rsid w:val="006D3856"/>
    <w:rsid w:val="006F0D1B"/>
    <w:rsid w:val="00733482"/>
    <w:rsid w:val="00740B5F"/>
    <w:rsid w:val="00782D5B"/>
    <w:rsid w:val="00784013"/>
    <w:rsid w:val="007B3AED"/>
    <w:rsid w:val="007C2E42"/>
    <w:rsid w:val="007E435F"/>
    <w:rsid w:val="007F1272"/>
    <w:rsid w:val="008023DC"/>
    <w:rsid w:val="00812432"/>
    <w:rsid w:val="00821FD2"/>
    <w:rsid w:val="00822D11"/>
    <w:rsid w:val="008B2BD6"/>
    <w:rsid w:val="00935A34"/>
    <w:rsid w:val="009851C2"/>
    <w:rsid w:val="009B79E8"/>
    <w:rsid w:val="009D5200"/>
    <w:rsid w:val="00A75807"/>
    <w:rsid w:val="00A9438E"/>
    <w:rsid w:val="00AC46DC"/>
    <w:rsid w:val="00B06F7F"/>
    <w:rsid w:val="00B11FCE"/>
    <w:rsid w:val="00B259C6"/>
    <w:rsid w:val="00B55813"/>
    <w:rsid w:val="00B705C0"/>
    <w:rsid w:val="00BC485A"/>
    <w:rsid w:val="00C167E8"/>
    <w:rsid w:val="00C30629"/>
    <w:rsid w:val="00C804E0"/>
    <w:rsid w:val="00C9186E"/>
    <w:rsid w:val="00CA02F4"/>
    <w:rsid w:val="00CB3170"/>
    <w:rsid w:val="00CD04DC"/>
    <w:rsid w:val="00D568DB"/>
    <w:rsid w:val="00DB2090"/>
    <w:rsid w:val="00DC7802"/>
    <w:rsid w:val="00DD78DD"/>
    <w:rsid w:val="00E32B7E"/>
    <w:rsid w:val="00E45A7C"/>
    <w:rsid w:val="00E507E0"/>
    <w:rsid w:val="00E95890"/>
    <w:rsid w:val="00EC37C7"/>
    <w:rsid w:val="00F13B69"/>
    <w:rsid w:val="00F4301F"/>
    <w:rsid w:val="00F436E1"/>
    <w:rsid w:val="00F628A8"/>
    <w:rsid w:val="00F827D1"/>
    <w:rsid w:val="00F82E3D"/>
    <w:rsid w:val="00F87582"/>
    <w:rsid w:val="00F9550A"/>
    <w:rsid w:val="00FA1F23"/>
    <w:rsid w:val="00FC1ACF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Абзац списка Знак"/>
    <w:link w:val="a5"/>
    <w:uiPriority w:val="99"/>
    <w:locked/>
    <w:rsid w:val="00FC1ACF"/>
    <w:rPr>
      <w:lang w:val="ru-RU" w:eastAsia="en-US"/>
    </w:rPr>
  </w:style>
  <w:style w:type="character" w:customStyle="1" w:styleId="rvts0">
    <w:name w:val="rvts0"/>
    <w:uiPriority w:val="99"/>
    <w:rsid w:val="00FC1ACF"/>
  </w:style>
  <w:style w:type="paragraph" w:customStyle="1" w:styleId="TableParagraph">
    <w:name w:val="Table Paragraph"/>
    <w:basedOn w:val="a"/>
    <w:uiPriority w:val="1"/>
    <w:qFormat/>
    <w:rsid w:val="00FC1ACF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customStyle="1" w:styleId="1">
    <w:name w:val="Абзац списку1"/>
    <w:basedOn w:val="a"/>
    <w:rsid w:val="00FC1ACF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customStyle="1" w:styleId="ac">
    <w:name w:val="Абзац списка Знак"/>
    <w:link w:val="a5"/>
    <w:uiPriority w:val="99"/>
    <w:locked/>
    <w:rsid w:val="00FC1ACF"/>
    <w:rPr>
      <w:lang w:val="ru-RU" w:eastAsia="en-US"/>
    </w:rPr>
  </w:style>
  <w:style w:type="character" w:customStyle="1" w:styleId="rvts0">
    <w:name w:val="rvts0"/>
    <w:uiPriority w:val="99"/>
    <w:rsid w:val="00FC1ACF"/>
  </w:style>
  <w:style w:type="paragraph" w:customStyle="1" w:styleId="TableParagraph">
    <w:name w:val="Table Paragraph"/>
    <w:basedOn w:val="a"/>
    <w:uiPriority w:val="1"/>
    <w:qFormat/>
    <w:rsid w:val="00FC1ACF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customStyle="1" w:styleId="1">
    <w:name w:val="Абзац списку1"/>
    <w:basedOn w:val="a"/>
    <w:rsid w:val="00FC1ACF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ovopedi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.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26959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2</cp:revision>
  <dcterms:created xsi:type="dcterms:W3CDTF">2023-01-16T17:54:00Z</dcterms:created>
  <dcterms:modified xsi:type="dcterms:W3CDTF">2023-01-16T17:54:00Z</dcterms:modified>
</cp:coreProperties>
</file>